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6BCB3" w14:textId="77777777" w:rsidR="00E859FB" w:rsidRPr="00E859FB" w:rsidRDefault="001A355E" w:rsidP="00E859FB">
      <w:pPr>
        <w:pStyle w:val="ListParagraph"/>
        <w:numPr>
          <w:ilvl w:val="0"/>
          <w:numId w:val="13"/>
        </w:numPr>
        <w:rPr>
          <w:rFonts w:ascii="Arial" w:hAnsi="Arial" w:cs="Arial"/>
          <w:sz w:val="20"/>
          <w:szCs w:val="20"/>
        </w:rPr>
      </w:pPr>
      <w:r w:rsidRPr="00E859FB">
        <w:rPr>
          <w:rFonts w:ascii="Arial" w:hAnsi="Arial" w:cs="Arial"/>
          <w:sz w:val="20"/>
          <w:szCs w:val="20"/>
        </w:rPr>
        <w:t xml:space="preserve">Attachment </w:t>
      </w:r>
      <w:r w:rsidR="00AC05DD" w:rsidRPr="00E859FB">
        <w:rPr>
          <w:rFonts w:ascii="Arial" w:hAnsi="Arial" w:cs="Arial"/>
          <w:sz w:val="20"/>
          <w:szCs w:val="20"/>
        </w:rPr>
        <w:t>– a resource</w:t>
      </w:r>
      <w:r w:rsidRPr="00E859FB">
        <w:rPr>
          <w:rFonts w:ascii="Arial" w:hAnsi="Arial" w:cs="Arial"/>
          <w:sz w:val="20"/>
          <w:szCs w:val="20"/>
        </w:rPr>
        <w:t xml:space="preserve"> setting out the range of </w:t>
      </w:r>
      <w:r w:rsidR="00AC05DD" w:rsidRPr="00E859FB">
        <w:rPr>
          <w:rFonts w:ascii="Arial" w:hAnsi="Arial" w:cs="Arial"/>
          <w:sz w:val="20"/>
          <w:szCs w:val="20"/>
        </w:rPr>
        <w:t xml:space="preserve">DR </w:t>
      </w:r>
      <w:r w:rsidRPr="00E859FB">
        <w:rPr>
          <w:rFonts w:ascii="Arial" w:hAnsi="Arial" w:cs="Arial"/>
          <w:sz w:val="20"/>
          <w:szCs w:val="20"/>
        </w:rPr>
        <w:t>solutions</w:t>
      </w:r>
      <w:r w:rsidR="00AC05DD" w:rsidRPr="00E859FB">
        <w:rPr>
          <w:rFonts w:ascii="Arial" w:hAnsi="Arial" w:cs="Arial"/>
          <w:sz w:val="20"/>
          <w:szCs w:val="20"/>
        </w:rPr>
        <w:t xml:space="preserve"> focussed processes </w:t>
      </w:r>
    </w:p>
    <w:p w14:paraId="16940449" w14:textId="2769A1F3" w:rsidR="00AC05DD" w:rsidRPr="00E859FB" w:rsidRDefault="00AC05DD" w:rsidP="00E859FB">
      <w:pPr>
        <w:pStyle w:val="ListParagraph"/>
        <w:numPr>
          <w:ilvl w:val="0"/>
          <w:numId w:val="13"/>
        </w:numPr>
        <w:rPr>
          <w:rFonts w:ascii="Arial" w:hAnsi="Arial" w:cs="Arial"/>
          <w:sz w:val="20"/>
          <w:szCs w:val="20"/>
        </w:rPr>
      </w:pPr>
      <w:r w:rsidRPr="00E859FB">
        <w:rPr>
          <w:rFonts w:ascii="Arial" w:hAnsi="Arial" w:cs="Arial"/>
          <w:sz w:val="20"/>
          <w:szCs w:val="20"/>
        </w:rPr>
        <w:t>T</w:t>
      </w:r>
      <w:r w:rsidR="001A355E" w:rsidRPr="00E859FB">
        <w:rPr>
          <w:rFonts w:ascii="Arial" w:hAnsi="Arial" w:cs="Arial"/>
          <w:sz w:val="20"/>
          <w:szCs w:val="20"/>
        </w:rPr>
        <w:t>he following is for illustrative purposes - all rights reserved Angela Lake-Carroll</w:t>
      </w:r>
    </w:p>
    <w:p w14:paraId="4FA59DCA" w14:textId="5319DBE0" w:rsidR="00AC05DD" w:rsidRPr="00E859FB" w:rsidRDefault="00E859FB" w:rsidP="00E859FB">
      <w:pPr>
        <w:pStyle w:val="ListParagraph"/>
        <w:numPr>
          <w:ilvl w:val="0"/>
          <w:numId w:val="12"/>
        </w:numPr>
        <w:rPr>
          <w:rFonts w:ascii="Arial" w:hAnsi="Arial" w:cs="Arial"/>
          <w:sz w:val="20"/>
          <w:szCs w:val="20"/>
        </w:rPr>
      </w:pPr>
      <w:r w:rsidRPr="00E859FB">
        <w:rPr>
          <w:rFonts w:ascii="Arial" w:hAnsi="Arial" w:cs="Arial"/>
          <w:sz w:val="20"/>
          <w:szCs w:val="20"/>
        </w:rPr>
        <w:t>L</w:t>
      </w:r>
      <w:r w:rsidR="001A355E" w:rsidRPr="00E859FB">
        <w:rPr>
          <w:rFonts w:ascii="Arial" w:hAnsi="Arial" w:cs="Arial"/>
          <w:sz w:val="20"/>
          <w:szCs w:val="20"/>
        </w:rPr>
        <w:t>atest Solution-centric graphics</w:t>
      </w:r>
    </w:p>
    <w:p w14:paraId="0410340B" w14:textId="1FA324C7" w:rsidR="001A355E" w:rsidRPr="00E859FB" w:rsidRDefault="00AC05DD" w:rsidP="00E859FB">
      <w:pPr>
        <w:pStyle w:val="ListParagraph"/>
        <w:numPr>
          <w:ilvl w:val="0"/>
          <w:numId w:val="12"/>
        </w:numPr>
        <w:rPr>
          <w:rFonts w:ascii="Arial" w:hAnsi="Arial" w:cs="Arial"/>
          <w:sz w:val="20"/>
          <w:szCs w:val="20"/>
        </w:rPr>
      </w:pPr>
      <w:r w:rsidRPr="00E859FB">
        <w:rPr>
          <w:rFonts w:ascii="Arial" w:hAnsi="Arial" w:cs="Arial"/>
          <w:sz w:val="20"/>
          <w:szCs w:val="20"/>
        </w:rPr>
        <w:t>Resolution options leaflet</w:t>
      </w:r>
    </w:p>
    <w:p w14:paraId="50C6AA54" w14:textId="2ECFF394" w:rsidR="00AC05DD" w:rsidRPr="00E859FB" w:rsidRDefault="00AC05DD" w:rsidP="001A355E">
      <w:pPr>
        <w:rPr>
          <w:rFonts w:ascii="Arial" w:hAnsi="Arial" w:cs="Arial"/>
          <w:sz w:val="20"/>
          <w:szCs w:val="20"/>
        </w:rPr>
      </w:pPr>
    </w:p>
    <w:p w14:paraId="7CA94BA1" w14:textId="77777777" w:rsidR="001A355E" w:rsidRPr="00E859FB" w:rsidRDefault="001A355E" w:rsidP="001A355E">
      <w:pPr>
        <w:rPr>
          <w:rFonts w:ascii="Arial" w:hAnsi="Arial" w:cs="Arial"/>
          <w:sz w:val="20"/>
          <w:szCs w:val="20"/>
        </w:rPr>
      </w:pPr>
    </w:p>
    <w:p w14:paraId="05C76431" w14:textId="77777777" w:rsidR="001A355E" w:rsidRPr="00E859FB" w:rsidRDefault="001A355E" w:rsidP="001A355E">
      <w:pPr>
        <w:rPr>
          <w:rFonts w:ascii="Arial" w:hAnsi="Arial" w:cs="Arial"/>
          <w:sz w:val="20"/>
          <w:szCs w:val="20"/>
        </w:rPr>
      </w:pPr>
      <w:r w:rsidRPr="00E859FB">
        <w:rPr>
          <w:rFonts w:ascii="Arial" w:hAnsi="Arial" w:cs="Arial"/>
          <w:noProof/>
          <w:sz w:val="20"/>
          <w:szCs w:val="20"/>
          <w:lang w:eastAsia="en-GB"/>
        </w:rPr>
        <w:drawing>
          <wp:inline distT="0" distB="0" distL="0" distR="0" wp14:anchorId="2B84F86D" wp14:editId="03AC5812">
            <wp:extent cx="5727700" cy="4391025"/>
            <wp:effectExtent l="0" t="0" r="6350" b="9525"/>
            <wp:docPr id="1" name="Picture 1" descr="page5image112869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5image1128692784"/>
                    <pic:cNvPicPr>
                      <a:picLocks noChangeAspect="1" noChangeArrowheads="1"/>
                    </pic:cNvPicPr>
                  </pic:nvPicPr>
                  <pic:blipFill rotWithShape="1">
                    <a:blip r:embed="rId7">
                      <a:extLst>
                        <a:ext uri="{28A0092B-C50C-407E-A947-70E740481C1C}">
                          <a14:useLocalDpi xmlns:a14="http://schemas.microsoft.com/office/drawing/2010/main" val="0"/>
                        </a:ext>
                      </a:extLst>
                    </a:blip>
                    <a:srcRect b="4923"/>
                    <a:stretch/>
                  </pic:blipFill>
                  <pic:spPr bwMode="auto">
                    <a:xfrm>
                      <a:off x="0" y="0"/>
                      <a:ext cx="5727700" cy="4391025"/>
                    </a:xfrm>
                    <a:prstGeom prst="rect">
                      <a:avLst/>
                    </a:prstGeom>
                    <a:noFill/>
                    <a:ln>
                      <a:noFill/>
                    </a:ln>
                    <a:extLst>
                      <a:ext uri="{53640926-AAD7-44D8-BBD7-CCE9431645EC}">
                        <a14:shadowObscured xmlns:a14="http://schemas.microsoft.com/office/drawing/2010/main"/>
                      </a:ext>
                    </a:extLst>
                  </pic:spPr>
                </pic:pic>
              </a:graphicData>
            </a:graphic>
          </wp:inline>
        </w:drawing>
      </w:r>
    </w:p>
    <w:p w14:paraId="4D5B534A" w14:textId="7BB48012" w:rsidR="001A355E" w:rsidRPr="00E859FB" w:rsidRDefault="001A355E" w:rsidP="001A355E">
      <w:pPr>
        <w:rPr>
          <w:rFonts w:ascii="Arial" w:hAnsi="Arial" w:cs="Arial"/>
          <w:sz w:val="20"/>
          <w:szCs w:val="20"/>
        </w:rPr>
      </w:pPr>
    </w:p>
    <w:p w14:paraId="56A21A9D" w14:textId="23E3DE6A" w:rsidR="00AC05DD" w:rsidRPr="00E859FB" w:rsidRDefault="00AC05DD" w:rsidP="001A355E">
      <w:pPr>
        <w:rPr>
          <w:rFonts w:ascii="Arial" w:hAnsi="Arial" w:cs="Arial"/>
          <w:sz w:val="20"/>
          <w:szCs w:val="20"/>
        </w:rPr>
      </w:pPr>
    </w:p>
    <w:p w14:paraId="77D85921" w14:textId="77777777" w:rsidR="00AC05DD" w:rsidRPr="00E859FB" w:rsidRDefault="00AC05DD" w:rsidP="001A355E">
      <w:pPr>
        <w:rPr>
          <w:rFonts w:ascii="Arial" w:hAnsi="Arial" w:cs="Arial"/>
          <w:sz w:val="20"/>
          <w:szCs w:val="20"/>
        </w:rPr>
      </w:pPr>
    </w:p>
    <w:tbl>
      <w:tblPr>
        <w:tblStyle w:val="TableGrid"/>
        <w:tblW w:w="0" w:type="auto"/>
        <w:tblLook w:val="04A0" w:firstRow="1" w:lastRow="0" w:firstColumn="1" w:lastColumn="0" w:noHBand="0" w:noVBand="1"/>
      </w:tblPr>
      <w:tblGrid>
        <w:gridCol w:w="8784"/>
      </w:tblGrid>
      <w:tr w:rsidR="001A355E" w:rsidRPr="00E859FB" w14:paraId="7D89D388" w14:textId="77777777" w:rsidTr="00CD3C59">
        <w:tc>
          <w:tcPr>
            <w:tcW w:w="8784" w:type="dxa"/>
          </w:tcPr>
          <w:p w14:paraId="43970D28" w14:textId="77777777" w:rsidR="001A355E" w:rsidRPr="00E859FB" w:rsidRDefault="001A355E" w:rsidP="00CD3C59">
            <w:pPr>
              <w:rPr>
                <w:rFonts w:ascii="Arial" w:hAnsi="Arial" w:cs="Arial"/>
                <w:sz w:val="20"/>
                <w:szCs w:val="20"/>
              </w:rPr>
            </w:pPr>
          </w:p>
          <w:p w14:paraId="14E0981E" w14:textId="77777777" w:rsidR="001A355E" w:rsidRPr="00E859FB" w:rsidRDefault="001A355E" w:rsidP="00CD3C59">
            <w:pPr>
              <w:rPr>
                <w:rFonts w:ascii="Arial" w:hAnsi="Arial" w:cs="Arial"/>
                <w:i/>
                <w:iCs/>
                <w:sz w:val="20"/>
                <w:szCs w:val="20"/>
              </w:rPr>
            </w:pPr>
            <w:r w:rsidRPr="00E859FB">
              <w:rPr>
                <w:rFonts w:ascii="Arial" w:hAnsi="Arial" w:cs="Arial"/>
                <w:i/>
                <w:iCs/>
                <w:sz w:val="20"/>
                <w:szCs w:val="20"/>
              </w:rPr>
              <w:t>Processes continue to evolve including</w:t>
            </w:r>
          </w:p>
          <w:p w14:paraId="72DF5DB6" w14:textId="7E1B0520" w:rsidR="00EB499B" w:rsidRPr="00E859FB" w:rsidRDefault="001A355E" w:rsidP="00CD3C59">
            <w:pPr>
              <w:rPr>
                <w:rFonts w:ascii="Arial" w:hAnsi="Arial" w:cs="Arial"/>
                <w:i/>
                <w:iCs/>
                <w:sz w:val="20"/>
                <w:szCs w:val="20"/>
              </w:rPr>
            </w:pPr>
            <w:r w:rsidRPr="00E859FB">
              <w:rPr>
                <w:rFonts w:ascii="Arial" w:hAnsi="Arial" w:cs="Arial"/>
                <w:i/>
                <w:iCs/>
                <w:sz w:val="20"/>
                <w:szCs w:val="20"/>
              </w:rPr>
              <w:t>Hybrid mediation</w:t>
            </w:r>
            <w:r w:rsidR="0084082F" w:rsidRPr="00E859FB">
              <w:rPr>
                <w:rFonts w:ascii="Arial" w:hAnsi="Arial" w:cs="Arial"/>
                <w:i/>
                <w:iCs/>
                <w:sz w:val="20"/>
                <w:szCs w:val="20"/>
              </w:rPr>
              <w:t xml:space="preserve"> aka Lawyer Inclusive Mediation – lawyers attending the mediation meetings </w:t>
            </w:r>
          </w:p>
          <w:p w14:paraId="0BF07506" w14:textId="18297C45" w:rsidR="0084082F" w:rsidRPr="00E859FB" w:rsidRDefault="0084082F" w:rsidP="00CD3C59">
            <w:pPr>
              <w:rPr>
                <w:rFonts w:ascii="Arial" w:hAnsi="Arial" w:cs="Arial"/>
                <w:i/>
                <w:iCs/>
                <w:sz w:val="20"/>
                <w:szCs w:val="20"/>
              </w:rPr>
            </w:pPr>
            <w:r w:rsidRPr="00E859FB">
              <w:rPr>
                <w:rFonts w:ascii="Arial" w:hAnsi="Arial" w:cs="Arial"/>
                <w:i/>
                <w:iCs/>
                <w:sz w:val="20"/>
                <w:szCs w:val="20"/>
              </w:rPr>
              <w:t>Blended mediation</w:t>
            </w:r>
            <w:r w:rsidR="00216FCC" w:rsidRPr="00E859FB">
              <w:rPr>
                <w:rFonts w:ascii="Arial" w:hAnsi="Arial" w:cs="Arial"/>
                <w:i/>
                <w:iCs/>
                <w:sz w:val="20"/>
                <w:szCs w:val="20"/>
              </w:rPr>
              <w:t>,</w:t>
            </w:r>
            <w:r w:rsidRPr="00E859FB">
              <w:rPr>
                <w:rFonts w:ascii="Arial" w:hAnsi="Arial" w:cs="Arial"/>
                <w:i/>
                <w:iCs/>
                <w:sz w:val="20"/>
                <w:szCs w:val="20"/>
              </w:rPr>
              <w:t xml:space="preserve"> i</w:t>
            </w:r>
            <w:r w:rsidR="00216FCC" w:rsidRPr="00E859FB">
              <w:rPr>
                <w:rFonts w:ascii="Arial" w:hAnsi="Arial" w:cs="Arial"/>
                <w:i/>
                <w:iCs/>
                <w:sz w:val="20"/>
                <w:szCs w:val="20"/>
              </w:rPr>
              <w:t>.</w:t>
            </w:r>
            <w:r w:rsidRPr="00E859FB">
              <w:rPr>
                <w:rFonts w:ascii="Arial" w:hAnsi="Arial" w:cs="Arial"/>
                <w:i/>
                <w:iCs/>
                <w:sz w:val="20"/>
                <w:szCs w:val="20"/>
              </w:rPr>
              <w:t>e</w:t>
            </w:r>
            <w:r w:rsidR="00216FCC" w:rsidRPr="00E859FB">
              <w:rPr>
                <w:rFonts w:ascii="Arial" w:hAnsi="Arial" w:cs="Arial"/>
                <w:i/>
                <w:iCs/>
                <w:sz w:val="20"/>
                <w:szCs w:val="20"/>
              </w:rPr>
              <w:t>.</w:t>
            </w:r>
            <w:r w:rsidRPr="00E859FB">
              <w:rPr>
                <w:rFonts w:ascii="Arial" w:hAnsi="Arial" w:cs="Arial"/>
                <w:i/>
                <w:iCs/>
                <w:sz w:val="20"/>
                <w:szCs w:val="20"/>
              </w:rPr>
              <w:t xml:space="preserve"> one participant face-to-face with the mediator and the other remote</w:t>
            </w:r>
          </w:p>
          <w:p w14:paraId="1B1C0DA0" w14:textId="1075C20F" w:rsidR="001A355E" w:rsidRPr="00E859FB" w:rsidRDefault="001A355E" w:rsidP="00CD3C59">
            <w:pPr>
              <w:rPr>
                <w:rFonts w:ascii="Arial" w:hAnsi="Arial" w:cs="Arial"/>
                <w:i/>
                <w:iCs/>
                <w:sz w:val="20"/>
                <w:szCs w:val="20"/>
              </w:rPr>
            </w:pPr>
            <w:r w:rsidRPr="00E859FB">
              <w:rPr>
                <w:rFonts w:ascii="Arial" w:hAnsi="Arial" w:cs="Arial"/>
                <w:i/>
                <w:iCs/>
                <w:sz w:val="20"/>
                <w:szCs w:val="20"/>
              </w:rPr>
              <w:t>The Certainty Project</w:t>
            </w:r>
            <w:r w:rsidR="0084082F" w:rsidRPr="00E859FB">
              <w:rPr>
                <w:rFonts w:ascii="Arial" w:hAnsi="Arial" w:cs="Arial"/>
                <w:i/>
                <w:iCs/>
                <w:sz w:val="20"/>
                <w:szCs w:val="20"/>
              </w:rPr>
              <w:t xml:space="preserve"> </w:t>
            </w:r>
          </w:p>
          <w:p w14:paraId="1E437CB5" w14:textId="77777777" w:rsidR="001A355E" w:rsidRPr="00E859FB" w:rsidRDefault="001A355E" w:rsidP="00CD3C59">
            <w:pPr>
              <w:rPr>
                <w:rFonts w:ascii="Arial" w:hAnsi="Arial" w:cs="Arial"/>
                <w:i/>
                <w:iCs/>
                <w:sz w:val="20"/>
                <w:szCs w:val="20"/>
              </w:rPr>
            </w:pPr>
            <w:r w:rsidRPr="00E859FB">
              <w:rPr>
                <w:rFonts w:ascii="Arial" w:hAnsi="Arial" w:cs="Arial"/>
                <w:i/>
                <w:iCs/>
                <w:sz w:val="20"/>
                <w:szCs w:val="20"/>
              </w:rPr>
              <w:t>Therapeutic intervention for challenging children cases that are frequent court returners</w:t>
            </w:r>
          </w:p>
          <w:p w14:paraId="1E13ED78" w14:textId="77777777" w:rsidR="001A355E" w:rsidRPr="00E859FB" w:rsidRDefault="001A355E" w:rsidP="00CD3C59">
            <w:pPr>
              <w:rPr>
                <w:rFonts w:ascii="Arial" w:hAnsi="Arial" w:cs="Arial"/>
                <w:sz w:val="20"/>
                <w:szCs w:val="20"/>
              </w:rPr>
            </w:pPr>
          </w:p>
        </w:tc>
      </w:tr>
    </w:tbl>
    <w:p w14:paraId="36EF245B" w14:textId="6C5A8352" w:rsidR="002C0C25" w:rsidRPr="00E859FB" w:rsidRDefault="002C0C25" w:rsidP="00BA7AB9">
      <w:pPr>
        <w:rPr>
          <w:rFonts w:ascii="Arial" w:hAnsi="Arial" w:cs="Arial"/>
          <w:sz w:val="20"/>
          <w:szCs w:val="20"/>
        </w:rPr>
      </w:pPr>
    </w:p>
    <w:p w14:paraId="661262CC" w14:textId="2214F293" w:rsidR="00A27649" w:rsidRPr="00E859FB" w:rsidRDefault="00A27649" w:rsidP="001A355E">
      <w:pPr>
        <w:spacing w:before="100" w:beforeAutospacing="1" w:after="100" w:afterAutospacing="1"/>
        <w:rPr>
          <w:rFonts w:ascii="Arial" w:hAnsi="Arial" w:cs="Arial"/>
          <w:i/>
          <w:iCs/>
          <w:sz w:val="20"/>
          <w:szCs w:val="20"/>
        </w:rPr>
      </w:pPr>
    </w:p>
    <w:p w14:paraId="18AAAED9" w14:textId="67026C35" w:rsidR="00E859FB" w:rsidRPr="00E859FB" w:rsidRDefault="00E859FB" w:rsidP="001A355E">
      <w:pPr>
        <w:spacing w:before="100" w:beforeAutospacing="1" w:after="100" w:afterAutospacing="1"/>
        <w:rPr>
          <w:rFonts w:ascii="Arial" w:hAnsi="Arial" w:cs="Arial"/>
          <w:i/>
          <w:iCs/>
          <w:sz w:val="20"/>
          <w:szCs w:val="20"/>
        </w:rPr>
      </w:pPr>
    </w:p>
    <w:p w14:paraId="62FE21FE" w14:textId="170DD6B2" w:rsidR="00E859FB" w:rsidRDefault="005C78D9" w:rsidP="001A355E">
      <w:pPr>
        <w:spacing w:before="100" w:beforeAutospacing="1" w:after="100" w:afterAutospacing="1"/>
        <w:rPr>
          <w:rFonts w:ascii="Arial" w:hAnsi="Arial" w:cs="Arial"/>
          <w:i/>
          <w:iCs/>
          <w:sz w:val="20"/>
          <w:szCs w:val="20"/>
        </w:rPr>
      </w:pPr>
      <w:r>
        <w:rPr>
          <w:noProof/>
          <w:lang w:eastAsia="en-GB"/>
        </w:rPr>
        <w:lastRenderedPageBreak/>
        <w:drawing>
          <wp:inline distT="0" distB="0" distL="0" distR="0" wp14:anchorId="7C087B36" wp14:editId="1C377846">
            <wp:extent cx="5727700" cy="430847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27700" cy="4308475"/>
                    </a:xfrm>
                    <a:prstGeom prst="rect">
                      <a:avLst/>
                    </a:prstGeom>
                  </pic:spPr>
                </pic:pic>
              </a:graphicData>
            </a:graphic>
          </wp:inline>
        </w:drawing>
      </w:r>
    </w:p>
    <w:p w14:paraId="08F22629" w14:textId="35A6E320" w:rsidR="005C78D9" w:rsidRPr="00E859FB" w:rsidRDefault="005C78D9" w:rsidP="001A355E">
      <w:pPr>
        <w:spacing w:before="100" w:beforeAutospacing="1" w:after="100" w:afterAutospacing="1"/>
        <w:rPr>
          <w:rFonts w:ascii="Arial" w:hAnsi="Arial" w:cs="Arial"/>
          <w:i/>
          <w:iCs/>
          <w:sz w:val="20"/>
          <w:szCs w:val="20"/>
        </w:rPr>
      </w:pPr>
      <w:r>
        <w:rPr>
          <w:noProof/>
          <w:lang w:eastAsia="en-GB"/>
        </w:rPr>
        <w:drawing>
          <wp:inline distT="0" distB="0" distL="0" distR="0" wp14:anchorId="5E641E43" wp14:editId="1AA74315">
            <wp:extent cx="5727700" cy="4297681"/>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8849" cy="4298543"/>
                    </a:xfrm>
                    <a:prstGeom prst="rect">
                      <a:avLst/>
                    </a:prstGeom>
                  </pic:spPr>
                </pic:pic>
              </a:graphicData>
            </a:graphic>
          </wp:inline>
        </w:drawing>
      </w:r>
    </w:p>
    <w:p w14:paraId="022B5578" w14:textId="537A97DC" w:rsidR="00E859FB" w:rsidRPr="00E859FB" w:rsidRDefault="00E859FB" w:rsidP="001A355E">
      <w:pPr>
        <w:spacing w:before="100" w:beforeAutospacing="1" w:after="100" w:afterAutospacing="1"/>
        <w:rPr>
          <w:rFonts w:ascii="Arial" w:hAnsi="Arial" w:cs="Arial"/>
          <w:i/>
          <w:iCs/>
          <w:sz w:val="20"/>
          <w:szCs w:val="20"/>
        </w:rPr>
      </w:pPr>
    </w:p>
    <w:p w14:paraId="2120C6C4" w14:textId="017610A5" w:rsidR="00E859FB" w:rsidRPr="00E859FB" w:rsidRDefault="00E859FB" w:rsidP="001A355E">
      <w:pPr>
        <w:spacing w:before="100" w:beforeAutospacing="1" w:after="100" w:afterAutospacing="1"/>
        <w:rPr>
          <w:rFonts w:ascii="Arial" w:hAnsi="Arial" w:cs="Arial"/>
          <w:i/>
          <w:iCs/>
          <w:sz w:val="20"/>
          <w:szCs w:val="20"/>
        </w:rPr>
      </w:pPr>
    </w:p>
    <w:p w14:paraId="29692957" w14:textId="77777777" w:rsidR="00E859FB" w:rsidRPr="00E859FB" w:rsidRDefault="00E859FB" w:rsidP="001A355E">
      <w:pPr>
        <w:spacing w:before="100" w:beforeAutospacing="1" w:after="100" w:afterAutospacing="1"/>
        <w:rPr>
          <w:rFonts w:ascii="Arial" w:hAnsi="Arial" w:cs="Arial"/>
          <w:i/>
          <w:iCs/>
          <w:sz w:val="20"/>
          <w:szCs w:val="20"/>
        </w:rPr>
      </w:pPr>
    </w:p>
    <w:p w14:paraId="4A528F9D" w14:textId="297419E6" w:rsidR="001A355E" w:rsidRPr="00E859FB" w:rsidRDefault="001A355E" w:rsidP="001A355E">
      <w:pPr>
        <w:spacing w:before="100" w:beforeAutospacing="1" w:after="100" w:afterAutospacing="1"/>
        <w:rPr>
          <w:rFonts w:ascii="Arial" w:hAnsi="Arial" w:cs="Arial"/>
          <w:sz w:val="20"/>
          <w:szCs w:val="20"/>
        </w:rPr>
      </w:pPr>
      <w:r w:rsidRPr="00E859FB">
        <w:rPr>
          <w:rFonts w:ascii="Arial" w:hAnsi="Arial" w:cs="Arial"/>
          <w:i/>
          <w:iCs/>
          <w:sz w:val="20"/>
          <w:szCs w:val="20"/>
        </w:rPr>
        <w:t xml:space="preserve"> “Something must be done ... We simply cannot go on as we are”</w:t>
      </w:r>
    </w:p>
    <w:p w14:paraId="5C5C5945" w14:textId="77777777" w:rsidR="001A355E" w:rsidRPr="00E859FB" w:rsidRDefault="001A355E" w:rsidP="001A355E">
      <w:pPr>
        <w:pStyle w:val="NormalWeb"/>
        <w:rPr>
          <w:rFonts w:ascii="Arial" w:hAnsi="Arial" w:cs="Arial"/>
          <w:i/>
          <w:iCs/>
          <w:sz w:val="20"/>
          <w:szCs w:val="20"/>
        </w:rPr>
      </w:pPr>
      <w:r w:rsidRPr="00E859FB">
        <w:rPr>
          <w:rFonts w:ascii="Arial" w:hAnsi="Arial" w:cs="Arial"/>
          <w:i/>
          <w:iCs/>
          <w:sz w:val="20"/>
          <w:szCs w:val="20"/>
        </w:rPr>
        <w:t>“‘... the time has come when the law-makers in this country, whether they are legislators or judges, must stop saying something must be done and actually do something”</w:t>
      </w:r>
    </w:p>
    <w:p w14:paraId="5DD980BC" w14:textId="77777777" w:rsidR="001A355E" w:rsidRPr="00E859FB" w:rsidRDefault="001A355E" w:rsidP="001A355E">
      <w:pPr>
        <w:pStyle w:val="NormalWeb"/>
        <w:rPr>
          <w:rFonts w:ascii="Arial" w:hAnsi="Arial" w:cs="Arial"/>
          <w:sz w:val="20"/>
          <w:szCs w:val="20"/>
        </w:rPr>
      </w:pPr>
      <w:r w:rsidRPr="00E859FB">
        <w:rPr>
          <w:rFonts w:ascii="Arial" w:hAnsi="Arial" w:cs="Arial"/>
          <w:sz w:val="20"/>
          <w:szCs w:val="20"/>
        </w:rPr>
        <w:t>IN FAMILY – we have</w:t>
      </w:r>
    </w:p>
    <w:p w14:paraId="7C2C8FE0" w14:textId="77777777" w:rsidR="001A355E" w:rsidRPr="00E859FB" w:rsidRDefault="001A355E" w:rsidP="001A355E">
      <w:pPr>
        <w:pStyle w:val="NormalWeb"/>
        <w:numPr>
          <w:ilvl w:val="0"/>
          <w:numId w:val="5"/>
        </w:numPr>
        <w:rPr>
          <w:rFonts w:ascii="Arial" w:hAnsi="Arial" w:cs="Arial"/>
          <w:sz w:val="20"/>
          <w:szCs w:val="20"/>
        </w:rPr>
      </w:pPr>
      <w:r w:rsidRPr="00E859FB">
        <w:rPr>
          <w:rFonts w:ascii="Arial" w:hAnsi="Arial" w:cs="Arial"/>
          <w:sz w:val="20"/>
          <w:szCs w:val="20"/>
        </w:rPr>
        <w:t>PART 3 Family Procedure Rules</w:t>
      </w:r>
      <w:r w:rsidRPr="00E859FB">
        <w:rPr>
          <w:rStyle w:val="EndnoteReference"/>
          <w:rFonts w:ascii="Arial" w:hAnsi="Arial" w:cs="Arial"/>
          <w:sz w:val="20"/>
          <w:szCs w:val="20"/>
        </w:rPr>
        <w:endnoteReference w:id="1"/>
      </w:r>
    </w:p>
    <w:p w14:paraId="54986D93" w14:textId="77777777" w:rsidR="001A355E" w:rsidRPr="00E859FB" w:rsidRDefault="001A355E" w:rsidP="001A355E">
      <w:pPr>
        <w:pStyle w:val="ListParagraph"/>
        <w:numPr>
          <w:ilvl w:val="0"/>
          <w:numId w:val="5"/>
        </w:numPr>
        <w:spacing w:before="100" w:beforeAutospacing="1" w:after="100" w:afterAutospacing="1"/>
        <w:rPr>
          <w:rFonts w:ascii="Arial" w:hAnsi="Arial" w:cs="Arial"/>
          <w:sz w:val="20"/>
          <w:szCs w:val="20"/>
        </w:rPr>
      </w:pPr>
      <w:r w:rsidRPr="00E859FB">
        <w:rPr>
          <w:rFonts w:ascii="Arial" w:hAnsi="Arial" w:cs="Arial"/>
          <w:sz w:val="20"/>
          <w:szCs w:val="20"/>
        </w:rPr>
        <w:t>The Family Procedure (Amendment) Rules 2020, which came into force on 6</w:t>
      </w:r>
      <w:r w:rsidRPr="00E859FB">
        <w:rPr>
          <w:rFonts w:ascii="Arial" w:hAnsi="Arial" w:cs="Arial"/>
          <w:position w:val="8"/>
          <w:sz w:val="20"/>
          <w:szCs w:val="20"/>
        </w:rPr>
        <w:t xml:space="preserve"> </w:t>
      </w:r>
      <w:r w:rsidRPr="00E859FB">
        <w:rPr>
          <w:rFonts w:ascii="Arial" w:hAnsi="Arial" w:cs="Arial"/>
          <w:sz w:val="20"/>
          <w:szCs w:val="20"/>
        </w:rPr>
        <w:t>April 2020 (save for rules 10 to 14 – the costs rules - which came into force on 6</w:t>
      </w:r>
      <w:r w:rsidRPr="00E859FB">
        <w:rPr>
          <w:rFonts w:ascii="Arial" w:hAnsi="Arial" w:cs="Arial"/>
          <w:position w:val="8"/>
          <w:sz w:val="20"/>
          <w:szCs w:val="20"/>
        </w:rPr>
        <w:t xml:space="preserve"> </w:t>
      </w:r>
      <w:r w:rsidRPr="00E859FB">
        <w:rPr>
          <w:rFonts w:ascii="Arial" w:hAnsi="Arial" w:cs="Arial"/>
          <w:sz w:val="20"/>
          <w:szCs w:val="20"/>
        </w:rPr>
        <w:t>July 2020)</w:t>
      </w:r>
      <w:r w:rsidRPr="00E859FB">
        <w:rPr>
          <w:rStyle w:val="EndnoteReference"/>
          <w:rFonts w:ascii="Arial" w:hAnsi="Arial" w:cs="Arial"/>
          <w:sz w:val="20"/>
          <w:szCs w:val="20"/>
        </w:rPr>
        <w:endnoteReference w:id="2"/>
      </w:r>
    </w:p>
    <w:p w14:paraId="76B07B23" w14:textId="77777777" w:rsidR="001A355E" w:rsidRPr="00E859FB" w:rsidRDefault="001A355E" w:rsidP="001A355E">
      <w:pPr>
        <w:pStyle w:val="ListParagraph"/>
        <w:numPr>
          <w:ilvl w:val="0"/>
          <w:numId w:val="5"/>
        </w:numPr>
        <w:spacing w:before="100" w:beforeAutospacing="1" w:after="100" w:afterAutospacing="1"/>
        <w:rPr>
          <w:rFonts w:ascii="Arial" w:hAnsi="Arial" w:cs="Arial"/>
          <w:sz w:val="20"/>
          <w:szCs w:val="20"/>
        </w:rPr>
      </w:pPr>
      <w:r w:rsidRPr="00E859FB">
        <w:rPr>
          <w:rFonts w:ascii="Arial" w:hAnsi="Arial" w:cs="Arial"/>
          <w:sz w:val="20"/>
          <w:szCs w:val="20"/>
        </w:rPr>
        <w:t xml:space="preserve">A range of sophisticated out-of-court process solutions </w:t>
      </w:r>
    </w:p>
    <w:p w14:paraId="6B70ECA4" w14:textId="5F12DBCE" w:rsidR="001A355E" w:rsidRPr="00E859FB" w:rsidRDefault="001A355E" w:rsidP="001A355E">
      <w:pPr>
        <w:spacing w:before="100" w:beforeAutospacing="1" w:after="100" w:afterAutospacing="1"/>
        <w:rPr>
          <w:rFonts w:ascii="Arial" w:hAnsi="Arial" w:cs="Arial"/>
          <w:sz w:val="20"/>
          <w:szCs w:val="20"/>
        </w:rPr>
      </w:pPr>
      <w:r w:rsidRPr="00E859FB">
        <w:rPr>
          <w:rFonts w:ascii="Arial" w:hAnsi="Arial" w:cs="Arial"/>
          <w:sz w:val="20"/>
          <w:szCs w:val="20"/>
        </w:rPr>
        <w:t xml:space="preserve">IN CIVIL </w:t>
      </w:r>
      <w:r w:rsidR="00E23CB2" w:rsidRPr="00E859FB">
        <w:rPr>
          <w:rFonts w:ascii="Arial" w:hAnsi="Arial" w:cs="Arial"/>
          <w:sz w:val="20"/>
          <w:szCs w:val="20"/>
        </w:rPr>
        <w:t>–</w:t>
      </w:r>
      <w:r w:rsidRPr="00E859FB">
        <w:rPr>
          <w:rFonts w:ascii="Arial" w:hAnsi="Arial" w:cs="Arial"/>
          <w:sz w:val="20"/>
          <w:szCs w:val="20"/>
        </w:rPr>
        <w:t xml:space="preserve"> they have</w:t>
      </w:r>
    </w:p>
    <w:p w14:paraId="6A70D965" w14:textId="46F6198B" w:rsidR="001A355E" w:rsidRPr="00E859FB" w:rsidRDefault="001A355E" w:rsidP="001A355E">
      <w:pPr>
        <w:pStyle w:val="ListParagraph"/>
        <w:numPr>
          <w:ilvl w:val="0"/>
          <w:numId w:val="6"/>
        </w:numPr>
        <w:spacing w:before="100" w:beforeAutospacing="1" w:after="100" w:afterAutospacing="1"/>
        <w:rPr>
          <w:rFonts w:ascii="Arial" w:hAnsi="Arial" w:cs="Arial"/>
          <w:sz w:val="20"/>
          <w:szCs w:val="20"/>
        </w:rPr>
      </w:pPr>
      <w:r w:rsidRPr="00E859FB">
        <w:rPr>
          <w:rFonts w:ascii="Arial" w:hAnsi="Arial" w:cs="Arial"/>
          <w:sz w:val="20"/>
          <w:szCs w:val="20"/>
        </w:rPr>
        <w:t xml:space="preserve">Civil Practice Direction – </w:t>
      </w:r>
      <w:r w:rsidR="00E23CB2" w:rsidRPr="00E859FB">
        <w:rPr>
          <w:rFonts w:ascii="Arial" w:hAnsi="Arial" w:cs="Arial"/>
          <w:sz w:val="20"/>
          <w:szCs w:val="20"/>
        </w:rPr>
        <w:t>pre-action conduct and protocols</w:t>
      </w:r>
      <w:r w:rsidRPr="00E859FB">
        <w:rPr>
          <w:rStyle w:val="EndnoteReference"/>
          <w:rFonts w:ascii="Arial" w:hAnsi="Arial" w:cs="Arial"/>
          <w:sz w:val="20"/>
          <w:szCs w:val="20"/>
        </w:rPr>
        <w:endnoteReference w:id="3"/>
      </w:r>
      <w:r w:rsidRPr="00E859FB">
        <w:rPr>
          <w:rFonts w:ascii="Arial" w:hAnsi="Arial" w:cs="Arial"/>
          <w:sz w:val="20"/>
          <w:szCs w:val="20"/>
        </w:rPr>
        <w:t xml:space="preserve"> – in short p</w:t>
      </w:r>
      <w:r w:rsidRPr="00E859FB">
        <w:rPr>
          <w:rFonts w:ascii="Arial" w:hAnsi="Arial" w:cs="Arial"/>
          <w:sz w:val="20"/>
          <w:szCs w:val="20"/>
          <w:shd w:val="clear" w:color="auto" w:fill="FFFFFF"/>
        </w:rPr>
        <w:t>arties who litigate without any consideration of ADR do so at their own risk. The courts have shown a remarkable willingness to impose cost sanctions on parties who, in the view of the judge, have unreasonably refused to mediate.</w:t>
      </w:r>
    </w:p>
    <w:tbl>
      <w:tblPr>
        <w:tblStyle w:val="TableGrid"/>
        <w:tblW w:w="0" w:type="auto"/>
        <w:tblInd w:w="279" w:type="dxa"/>
        <w:tblLook w:val="04A0" w:firstRow="1" w:lastRow="0" w:firstColumn="1" w:lastColumn="0" w:noHBand="0" w:noVBand="1"/>
      </w:tblPr>
      <w:tblGrid>
        <w:gridCol w:w="8363"/>
      </w:tblGrid>
      <w:tr w:rsidR="001A355E" w:rsidRPr="00E859FB" w14:paraId="480FECDC" w14:textId="77777777" w:rsidTr="00CD3C59">
        <w:trPr>
          <w:trHeight w:val="3378"/>
        </w:trPr>
        <w:tc>
          <w:tcPr>
            <w:tcW w:w="8363" w:type="dxa"/>
          </w:tcPr>
          <w:p w14:paraId="0650D595" w14:textId="77777777" w:rsidR="001A355E" w:rsidRPr="00E859FB" w:rsidRDefault="001A355E" w:rsidP="00CD3C59">
            <w:pPr>
              <w:spacing w:before="100" w:beforeAutospacing="1" w:after="100" w:afterAutospacing="1"/>
              <w:rPr>
                <w:rFonts w:ascii="Arial" w:hAnsi="Arial" w:cs="Arial"/>
                <w:sz w:val="20"/>
                <w:szCs w:val="20"/>
              </w:rPr>
            </w:pPr>
          </w:p>
          <w:p w14:paraId="661E5918" w14:textId="77777777" w:rsidR="001A355E" w:rsidRPr="00E859FB" w:rsidRDefault="001A355E" w:rsidP="00CD3C59">
            <w:pPr>
              <w:spacing w:before="100" w:beforeAutospacing="1" w:after="100" w:afterAutospacing="1"/>
              <w:rPr>
                <w:rFonts w:ascii="Arial" w:hAnsi="Arial" w:cs="Arial"/>
                <w:sz w:val="20"/>
                <w:szCs w:val="20"/>
              </w:rPr>
            </w:pPr>
            <w:r w:rsidRPr="00E859FB">
              <w:rPr>
                <w:rFonts w:ascii="Arial" w:hAnsi="Arial" w:cs="Arial"/>
                <w:sz w:val="20"/>
                <w:szCs w:val="20"/>
              </w:rPr>
              <w:t>Parties often issue to obtain a court timetable</w:t>
            </w:r>
          </w:p>
          <w:p w14:paraId="354CCEC0" w14:textId="77777777" w:rsidR="001A355E" w:rsidRPr="00E859FB" w:rsidRDefault="001A355E" w:rsidP="00CD3C59">
            <w:pPr>
              <w:spacing w:before="100" w:beforeAutospacing="1" w:after="100" w:afterAutospacing="1"/>
              <w:rPr>
                <w:rFonts w:ascii="Arial" w:hAnsi="Arial" w:cs="Arial"/>
                <w:i/>
                <w:iCs/>
                <w:sz w:val="20"/>
                <w:szCs w:val="20"/>
              </w:rPr>
            </w:pPr>
            <w:r w:rsidRPr="00E859FB">
              <w:rPr>
                <w:rFonts w:ascii="Arial" w:hAnsi="Arial" w:cs="Arial"/>
                <w:i/>
                <w:iCs/>
                <w:sz w:val="20"/>
                <w:szCs w:val="20"/>
              </w:rPr>
              <w:t>this may be more suitable for financial rather than children applications, but if the court is being used to ‘chivvy up’ the other party can we not find some robust ‘prod’ / stick that does not take up so much of the court’s time and resource as at present?</w:t>
            </w:r>
          </w:p>
          <w:p w14:paraId="5EA47E34" w14:textId="77777777" w:rsidR="001A355E" w:rsidRPr="00E859FB" w:rsidRDefault="001A355E" w:rsidP="00CD3C59">
            <w:pPr>
              <w:spacing w:before="100" w:beforeAutospacing="1" w:after="100" w:afterAutospacing="1"/>
              <w:rPr>
                <w:rFonts w:ascii="Arial" w:hAnsi="Arial" w:cs="Arial"/>
                <w:sz w:val="20"/>
                <w:szCs w:val="20"/>
              </w:rPr>
            </w:pPr>
            <w:r w:rsidRPr="00E859FB">
              <w:rPr>
                <w:rFonts w:ascii="Arial" w:hAnsi="Arial" w:cs="Arial"/>
                <w:sz w:val="20"/>
                <w:szCs w:val="20"/>
              </w:rPr>
              <w:t xml:space="preserve">PROPOSAL - A streamlined quasi-judicial / administrative process for robust </w:t>
            </w:r>
            <w:r w:rsidRPr="00E859FB">
              <w:rPr>
                <w:rFonts w:ascii="Arial" w:hAnsi="Arial" w:cs="Arial"/>
                <w:sz w:val="20"/>
                <w:szCs w:val="20"/>
                <w:u w:val="single"/>
              </w:rPr>
              <w:t>case-management</w:t>
            </w:r>
            <w:r w:rsidRPr="00E859FB">
              <w:rPr>
                <w:rFonts w:ascii="Arial" w:hAnsi="Arial" w:cs="Arial"/>
                <w:sz w:val="20"/>
                <w:szCs w:val="20"/>
              </w:rPr>
              <w:t xml:space="preserve"> / timetabling with increased (continuing) use of online / virtual hearings and court ordered ADR</w:t>
            </w:r>
          </w:p>
          <w:p w14:paraId="678A84A7" w14:textId="77777777" w:rsidR="001A355E" w:rsidRPr="00E859FB" w:rsidRDefault="001A355E" w:rsidP="00CD3C59">
            <w:pPr>
              <w:spacing w:before="100" w:beforeAutospacing="1" w:after="100" w:afterAutospacing="1"/>
              <w:rPr>
                <w:rFonts w:ascii="Arial" w:hAnsi="Arial" w:cs="Arial"/>
                <w:sz w:val="20"/>
                <w:szCs w:val="20"/>
              </w:rPr>
            </w:pPr>
          </w:p>
        </w:tc>
      </w:tr>
    </w:tbl>
    <w:p w14:paraId="0B89C40B" w14:textId="77777777" w:rsidR="001A355E" w:rsidRPr="00E859FB" w:rsidRDefault="001A355E" w:rsidP="001A355E">
      <w:pPr>
        <w:spacing w:before="100" w:beforeAutospacing="1" w:after="100" w:afterAutospacing="1"/>
        <w:rPr>
          <w:rFonts w:ascii="Arial" w:hAnsi="Arial" w:cs="Arial"/>
          <w:sz w:val="20"/>
          <w:szCs w:val="20"/>
        </w:rPr>
      </w:pPr>
      <w:r w:rsidRPr="00E859FB">
        <w:rPr>
          <w:rFonts w:ascii="Arial" w:hAnsi="Arial" w:cs="Arial"/>
          <w:sz w:val="20"/>
          <w:szCs w:val="20"/>
        </w:rPr>
        <w:t>The proposed Part 3 Protocol – must be robust, have ‘teeth’, be consistently applied and have a range of unattractive sanctions / consequences including</w:t>
      </w:r>
    </w:p>
    <w:p w14:paraId="3F3285C1" w14:textId="07448A17" w:rsidR="001A355E" w:rsidRPr="00E859FB" w:rsidRDefault="001A355E" w:rsidP="001A355E">
      <w:pPr>
        <w:pStyle w:val="ListParagraph"/>
        <w:numPr>
          <w:ilvl w:val="0"/>
          <w:numId w:val="6"/>
        </w:numPr>
        <w:spacing w:before="100" w:beforeAutospacing="1" w:after="100" w:afterAutospacing="1"/>
        <w:rPr>
          <w:rFonts w:ascii="Arial" w:hAnsi="Arial" w:cs="Arial"/>
          <w:sz w:val="20"/>
          <w:szCs w:val="20"/>
        </w:rPr>
      </w:pPr>
      <w:r w:rsidRPr="00E859FB">
        <w:rPr>
          <w:rFonts w:ascii="Arial" w:hAnsi="Arial" w:cs="Arial"/>
          <w:sz w:val="20"/>
          <w:szCs w:val="20"/>
        </w:rPr>
        <w:t>the court’s refusal to hear the matter</w:t>
      </w:r>
      <w:r w:rsidR="00216FCC" w:rsidRPr="00E859FB">
        <w:rPr>
          <w:rFonts w:ascii="Arial" w:hAnsi="Arial" w:cs="Arial"/>
          <w:sz w:val="20"/>
          <w:szCs w:val="20"/>
        </w:rPr>
        <w:t>,</w:t>
      </w:r>
      <w:r w:rsidRPr="00E859FB">
        <w:rPr>
          <w:rFonts w:ascii="Arial" w:hAnsi="Arial" w:cs="Arial"/>
          <w:sz w:val="20"/>
          <w:szCs w:val="20"/>
        </w:rPr>
        <w:t xml:space="preserve"> i</w:t>
      </w:r>
      <w:r w:rsidR="00216FCC" w:rsidRPr="00E859FB">
        <w:rPr>
          <w:rFonts w:ascii="Arial" w:hAnsi="Arial" w:cs="Arial"/>
          <w:sz w:val="20"/>
          <w:szCs w:val="20"/>
        </w:rPr>
        <w:t>.</w:t>
      </w:r>
      <w:r w:rsidRPr="00E859FB">
        <w:rPr>
          <w:rFonts w:ascii="Arial" w:hAnsi="Arial" w:cs="Arial"/>
          <w:sz w:val="20"/>
          <w:szCs w:val="20"/>
        </w:rPr>
        <w:t>e</w:t>
      </w:r>
      <w:r w:rsidR="00216FCC" w:rsidRPr="00E859FB">
        <w:rPr>
          <w:rFonts w:ascii="Arial" w:hAnsi="Arial" w:cs="Arial"/>
          <w:sz w:val="20"/>
          <w:szCs w:val="20"/>
        </w:rPr>
        <w:t>.</w:t>
      </w:r>
      <w:r w:rsidRPr="00E859FB">
        <w:rPr>
          <w:rFonts w:ascii="Arial" w:hAnsi="Arial" w:cs="Arial"/>
          <w:sz w:val="20"/>
          <w:szCs w:val="20"/>
        </w:rPr>
        <w:t xml:space="preserve"> stay / adjourn the proceedings for x months</w:t>
      </w:r>
    </w:p>
    <w:p w14:paraId="104219F4" w14:textId="77777777" w:rsidR="001A355E" w:rsidRPr="00E859FB" w:rsidRDefault="001A355E" w:rsidP="001A355E">
      <w:pPr>
        <w:pStyle w:val="ListParagraph"/>
        <w:numPr>
          <w:ilvl w:val="0"/>
          <w:numId w:val="6"/>
        </w:numPr>
        <w:spacing w:before="100" w:beforeAutospacing="1" w:after="100" w:afterAutospacing="1"/>
        <w:rPr>
          <w:rFonts w:ascii="Arial" w:hAnsi="Arial" w:cs="Arial"/>
          <w:sz w:val="20"/>
          <w:szCs w:val="20"/>
        </w:rPr>
      </w:pPr>
      <w:r w:rsidRPr="00E859FB">
        <w:rPr>
          <w:rFonts w:ascii="Arial" w:hAnsi="Arial" w:cs="Arial"/>
          <w:sz w:val="20"/>
          <w:szCs w:val="20"/>
        </w:rPr>
        <w:t>vocal judicial displeasure / ‘rollocking’, leading to costs orders against both the parties and / or their legal advisers</w:t>
      </w:r>
    </w:p>
    <w:p w14:paraId="52EA5B23" w14:textId="77777777" w:rsidR="001A355E" w:rsidRPr="00E859FB" w:rsidRDefault="001A355E" w:rsidP="001A355E">
      <w:pPr>
        <w:pStyle w:val="ListParagraph"/>
        <w:numPr>
          <w:ilvl w:val="0"/>
          <w:numId w:val="6"/>
        </w:numPr>
        <w:spacing w:before="100" w:beforeAutospacing="1" w:after="100" w:afterAutospacing="1"/>
        <w:rPr>
          <w:rFonts w:ascii="Arial" w:hAnsi="Arial" w:cs="Arial"/>
          <w:sz w:val="20"/>
          <w:szCs w:val="20"/>
        </w:rPr>
      </w:pPr>
      <w:r w:rsidRPr="00E859FB">
        <w:rPr>
          <w:rFonts w:ascii="Arial" w:hAnsi="Arial" w:cs="Arial"/>
          <w:sz w:val="20"/>
          <w:szCs w:val="20"/>
        </w:rPr>
        <w:t>negligence and / or disciplinary actions against non-compliant legal advisers</w:t>
      </w:r>
    </w:p>
    <w:p w14:paraId="286ED67A" w14:textId="77777777" w:rsidR="001A355E" w:rsidRPr="00E859FB" w:rsidRDefault="001A355E" w:rsidP="001A355E">
      <w:pPr>
        <w:rPr>
          <w:rFonts w:ascii="Arial" w:hAnsi="Arial" w:cs="Arial"/>
          <w:sz w:val="20"/>
          <w:szCs w:val="20"/>
        </w:rPr>
      </w:pPr>
    </w:p>
    <w:p w14:paraId="3F26DEA9" w14:textId="77777777" w:rsidR="001A355E" w:rsidRPr="00E859FB" w:rsidRDefault="001A355E" w:rsidP="001A355E">
      <w:pPr>
        <w:rPr>
          <w:rFonts w:ascii="Arial" w:hAnsi="Arial" w:cs="Arial"/>
          <w:sz w:val="20"/>
          <w:szCs w:val="20"/>
        </w:rPr>
      </w:pPr>
      <w:r w:rsidRPr="00E859FB">
        <w:rPr>
          <w:rFonts w:ascii="Arial" w:hAnsi="Arial" w:cs="Arial"/>
          <w:sz w:val="20"/>
          <w:szCs w:val="20"/>
        </w:rPr>
        <w:t>I have had a go at drafting the Protocol</w:t>
      </w:r>
    </w:p>
    <w:p w14:paraId="5138D927" w14:textId="77777777" w:rsidR="001A355E" w:rsidRPr="00E859FB" w:rsidRDefault="001A355E" w:rsidP="001A355E">
      <w:pPr>
        <w:rPr>
          <w:rFonts w:ascii="Arial" w:hAnsi="Arial" w:cs="Arial"/>
          <w:sz w:val="20"/>
          <w:szCs w:val="20"/>
        </w:rPr>
      </w:pPr>
    </w:p>
    <w:p w14:paraId="0CEF8C41" w14:textId="77777777" w:rsidR="001A355E" w:rsidRPr="00E859FB" w:rsidRDefault="001A355E" w:rsidP="001A355E">
      <w:pPr>
        <w:pStyle w:val="ListParagraph"/>
        <w:numPr>
          <w:ilvl w:val="0"/>
          <w:numId w:val="3"/>
        </w:numPr>
        <w:rPr>
          <w:rFonts w:ascii="Arial" w:hAnsi="Arial" w:cs="Arial"/>
          <w:sz w:val="20"/>
          <w:szCs w:val="20"/>
        </w:rPr>
      </w:pPr>
      <w:r w:rsidRPr="00E859FB">
        <w:rPr>
          <w:rFonts w:ascii="Arial" w:hAnsi="Arial" w:cs="Arial"/>
          <w:sz w:val="20"/>
          <w:szCs w:val="20"/>
        </w:rPr>
        <w:t>In accordance with 3.3 (1) [or a new Family Procedure Rule] in all case management reviews [define] and at all hearings the court/judge must undertake the Part 3 Review [define] and certify that they have done so by recording on the court file [contents of record/certificate]</w:t>
      </w:r>
    </w:p>
    <w:p w14:paraId="5CE46058" w14:textId="77777777" w:rsidR="001A355E" w:rsidRPr="00E859FB" w:rsidRDefault="001A355E" w:rsidP="001A355E">
      <w:pPr>
        <w:rPr>
          <w:rFonts w:ascii="Arial" w:hAnsi="Arial" w:cs="Arial"/>
          <w:sz w:val="20"/>
          <w:szCs w:val="20"/>
        </w:rPr>
      </w:pPr>
    </w:p>
    <w:p w14:paraId="4050FBCA" w14:textId="77777777" w:rsidR="001A355E" w:rsidRPr="00E859FB" w:rsidRDefault="001A355E" w:rsidP="001A355E">
      <w:pPr>
        <w:pStyle w:val="ListParagraph"/>
        <w:numPr>
          <w:ilvl w:val="0"/>
          <w:numId w:val="3"/>
        </w:numPr>
        <w:rPr>
          <w:rFonts w:ascii="Arial" w:hAnsi="Arial" w:cs="Arial"/>
          <w:sz w:val="20"/>
          <w:szCs w:val="20"/>
        </w:rPr>
      </w:pPr>
      <w:r w:rsidRPr="00E859FB">
        <w:rPr>
          <w:rFonts w:ascii="Arial" w:hAnsi="Arial" w:cs="Arial"/>
          <w:sz w:val="20"/>
          <w:szCs w:val="20"/>
        </w:rPr>
        <w:t xml:space="preserve">[At First Appointment the court must  </w:t>
      </w:r>
    </w:p>
    <w:p w14:paraId="7DD85CD4" w14:textId="77777777" w:rsidR="001A355E" w:rsidRPr="00E859FB" w:rsidRDefault="001A355E" w:rsidP="001A355E">
      <w:pPr>
        <w:pStyle w:val="ListParagraph"/>
        <w:rPr>
          <w:rFonts w:ascii="Arial" w:hAnsi="Arial" w:cs="Arial"/>
          <w:sz w:val="20"/>
          <w:szCs w:val="20"/>
        </w:rPr>
      </w:pPr>
    </w:p>
    <w:p w14:paraId="706E3928" w14:textId="77777777" w:rsidR="001A355E" w:rsidRPr="00E859FB" w:rsidRDefault="001A355E" w:rsidP="001A355E">
      <w:pPr>
        <w:pStyle w:val="ListParagraph"/>
        <w:numPr>
          <w:ilvl w:val="0"/>
          <w:numId w:val="8"/>
        </w:numPr>
        <w:rPr>
          <w:rFonts w:ascii="Arial" w:hAnsi="Arial" w:cs="Arial"/>
          <w:sz w:val="20"/>
          <w:szCs w:val="20"/>
        </w:rPr>
      </w:pPr>
      <w:r w:rsidRPr="00E859FB">
        <w:rPr>
          <w:rFonts w:ascii="Arial" w:hAnsi="Arial" w:cs="Arial"/>
          <w:sz w:val="20"/>
          <w:szCs w:val="20"/>
        </w:rPr>
        <w:t>direct the matter to a non-court dispute resolution process to include the date by which it must be conducted which date can be moved/delayed only by further order of the court or</w:t>
      </w:r>
    </w:p>
    <w:p w14:paraId="4F93B562" w14:textId="77777777" w:rsidR="001A355E" w:rsidRPr="00E859FB" w:rsidRDefault="001A355E" w:rsidP="001A355E">
      <w:pPr>
        <w:pStyle w:val="ListParagraph"/>
        <w:numPr>
          <w:ilvl w:val="0"/>
          <w:numId w:val="8"/>
        </w:numPr>
        <w:rPr>
          <w:rFonts w:ascii="Arial" w:hAnsi="Arial" w:cs="Arial"/>
          <w:sz w:val="20"/>
          <w:szCs w:val="20"/>
        </w:rPr>
      </w:pPr>
      <w:r w:rsidRPr="00E859FB">
        <w:rPr>
          <w:rFonts w:ascii="Arial" w:hAnsi="Arial" w:cs="Arial"/>
          <w:sz w:val="20"/>
          <w:szCs w:val="20"/>
        </w:rPr>
        <w:t>certify why it has not so directed]</w:t>
      </w:r>
    </w:p>
    <w:p w14:paraId="70A24232" w14:textId="77777777" w:rsidR="001A355E" w:rsidRPr="00E859FB" w:rsidRDefault="001A355E" w:rsidP="001A355E">
      <w:pPr>
        <w:rPr>
          <w:rFonts w:ascii="Arial" w:hAnsi="Arial" w:cs="Arial"/>
          <w:sz w:val="20"/>
          <w:szCs w:val="20"/>
        </w:rPr>
      </w:pPr>
    </w:p>
    <w:p w14:paraId="1BD270F3" w14:textId="77777777" w:rsidR="001A355E" w:rsidRPr="00E859FB" w:rsidRDefault="001A355E" w:rsidP="001A355E">
      <w:pPr>
        <w:pStyle w:val="ListParagraph"/>
        <w:numPr>
          <w:ilvl w:val="0"/>
          <w:numId w:val="3"/>
        </w:numPr>
        <w:rPr>
          <w:rFonts w:ascii="Arial" w:hAnsi="Arial" w:cs="Arial"/>
          <w:sz w:val="20"/>
          <w:szCs w:val="20"/>
        </w:rPr>
      </w:pPr>
      <w:r w:rsidRPr="00E859FB">
        <w:rPr>
          <w:rFonts w:ascii="Arial" w:hAnsi="Arial" w:cs="Arial"/>
          <w:sz w:val="20"/>
          <w:szCs w:val="20"/>
        </w:rPr>
        <w:t>[The parties if self-presenting or their] legal advisers must [consider/apply] Part 3 at all times including pre and post issue of court proceedings and evidence [by way of contemporaneous file notes/records] that they have done so</w:t>
      </w:r>
    </w:p>
    <w:p w14:paraId="7343EC9F" w14:textId="77777777" w:rsidR="001A355E" w:rsidRPr="00E859FB" w:rsidRDefault="001A355E" w:rsidP="001A355E">
      <w:pPr>
        <w:pStyle w:val="ListParagraph"/>
        <w:rPr>
          <w:rFonts w:ascii="Arial" w:hAnsi="Arial" w:cs="Arial"/>
          <w:sz w:val="20"/>
          <w:szCs w:val="20"/>
        </w:rPr>
      </w:pPr>
    </w:p>
    <w:p w14:paraId="0FD98182" w14:textId="59A2CBF1" w:rsidR="001A355E" w:rsidRPr="00E859FB" w:rsidRDefault="001A355E" w:rsidP="001A355E">
      <w:pPr>
        <w:pStyle w:val="ListParagraph"/>
        <w:numPr>
          <w:ilvl w:val="0"/>
          <w:numId w:val="3"/>
        </w:numPr>
        <w:rPr>
          <w:rFonts w:ascii="Arial" w:hAnsi="Arial" w:cs="Arial"/>
          <w:sz w:val="20"/>
          <w:szCs w:val="20"/>
        </w:rPr>
      </w:pPr>
      <w:r w:rsidRPr="00E859FB">
        <w:rPr>
          <w:rFonts w:ascii="Arial" w:hAnsi="Arial" w:cs="Arial"/>
          <w:sz w:val="20"/>
          <w:szCs w:val="20"/>
        </w:rPr>
        <w:t>At each hearing or when called upon by the court to do so it shall be the duty of the legal advisers [parties if self-representing] to provide to the court a copy set of the correspondence and attendance notes emanating from 5 &amp; 6 below</w:t>
      </w:r>
      <w:r w:rsidR="00392583">
        <w:rPr>
          <w:rFonts w:ascii="Arial" w:hAnsi="Arial" w:cs="Arial"/>
          <w:sz w:val="20"/>
          <w:szCs w:val="20"/>
        </w:rPr>
        <w:t xml:space="preserve"> </w:t>
      </w:r>
      <w:r w:rsidR="00392583" w:rsidRPr="00392583">
        <w:rPr>
          <w:rFonts w:ascii="Arial" w:hAnsi="Arial" w:cs="Arial"/>
          <w:sz w:val="20"/>
          <w:szCs w:val="20"/>
        </w:rPr>
        <w:t>(the Part 3 communications)</w:t>
      </w:r>
      <w:r w:rsidR="00392583">
        <w:rPr>
          <w:rFonts w:ascii="Arial" w:hAnsi="Arial" w:cs="Arial"/>
          <w:sz w:val="20"/>
          <w:szCs w:val="20"/>
        </w:rPr>
        <w:t>.</w:t>
      </w:r>
    </w:p>
    <w:p w14:paraId="264A0184" w14:textId="77777777" w:rsidR="001A355E" w:rsidRPr="00E859FB" w:rsidRDefault="001A355E" w:rsidP="001A355E">
      <w:pPr>
        <w:rPr>
          <w:rFonts w:ascii="Arial" w:hAnsi="Arial" w:cs="Arial"/>
          <w:sz w:val="20"/>
          <w:szCs w:val="20"/>
        </w:rPr>
      </w:pPr>
    </w:p>
    <w:p w14:paraId="0028DBA8" w14:textId="77777777" w:rsidR="001A355E" w:rsidRPr="00E859FB" w:rsidRDefault="001A355E" w:rsidP="001A355E">
      <w:pPr>
        <w:pStyle w:val="ListParagraph"/>
        <w:numPr>
          <w:ilvl w:val="0"/>
          <w:numId w:val="3"/>
        </w:numPr>
        <w:rPr>
          <w:rFonts w:ascii="Arial" w:hAnsi="Arial" w:cs="Arial"/>
          <w:sz w:val="20"/>
          <w:szCs w:val="20"/>
        </w:rPr>
      </w:pPr>
      <w:r w:rsidRPr="00E859FB">
        <w:rPr>
          <w:rFonts w:ascii="Arial" w:hAnsi="Arial" w:cs="Arial"/>
          <w:sz w:val="20"/>
          <w:szCs w:val="20"/>
        </w:rPr>
        <w:t>[The parties if self-presenting or] legal advisers must issue an open invitation to the other party to engage in a non-court dispute resolution process detailing [how, what, where, when &amp; funding proposal etc] alternatively they must explain why they are not inviting</w:t>
      </w:r>
    </w:p>
    <w:p w14:paraId="3A7F6013" w14:textId="77777777" w:rsidR="001A355E" w:rsidRPr="00E859FB" w:rsidRDefault="001A355E" w:rsidP="001A355E">
      <w:pPr>
        <w:pStyle w:val="ListParagraph"/>
        <w:rPr>
          <w:rFonts w:ascii="Arial" w:hAnsi="Arial" w:cs="Arial"/>
          <w:sz w:val="20"/>
          <w:szCs w:val="20"/>
        </w:rPr>
      </w:pPr>
    </w:p>
    <w:p w14:paraId="43957A8B" w14:textId="6C5A3AE4" w:rsidR="001A355E" w:rsidRPr="00E859FB" w:rsidRDefault="001A355E" w:rsidP="001A355E">
      <w:pPr>
        <w:pStyle w:val="ListParagraph"/>
        <w:numPr>
          <w:ilvl w:val="0"/>
          <w:numId w:val="3"/>
        </w:numPr>
        <w:rPr>
          <w:rFonts w:ascii="Arial" w:hAnsi="Arial" w:cs="Arial"/>
          <w:sz w:val="20"/>
          <w:szCs w:val="20"/>
        </w:rPr>
      </w:pPr>
      <w:r w:rsidRPr="00E859FB">
        <w:rPr>
          <w:rFonts w:ascii="Arial" w:hAnsi="Arial" w:cs="Arial"/>
          <w:sz w:val="20"/>
          <w:szCs w:val="20"/>
        </w:rPr>
        <w:t xml:space="preserve">Upon receipt of an invitation as at 5 above the recipient must within </w:t>
      </w:r>
      <w:r w:rsidR="00662A20">
        <w:rPr>
          <w:rFonts w:ascii="Arial" w:hAnsi="Arial" w:cs="Arial"/>
          <w:sz w:val="20"/>
          <w:szCs w:val="20"/>
        </w:rPr>
        <w:t>14</w:t>
      </w:r>
      <w:r w:rsidRPr="00E859FB">
        <w:rPr>
          <w:rFonts w:ascii="Arial" w:hAnsi="Arial" w:cs="Arial"/>
          <w:sz w:val="20"/>
          <w:szCs w:val="20"/>
        </w:rPr>
        <w:t xml:space="preserve"> days reply in open terms setting out their acceptance / refusal / alternative non-court dispute resolution process [ask for a further </w:t>
      </w:r>
      <w:r w:rsidR="00662A20">
        <w:rPr>
          <w:rFonts w:ascii="Arial" w:hAnsi="Arial" w:cs="Arial"/>
          <w:sz w:val="20"/>
          <w:szCs w:val="20"/>
        </w:rPr>
        <w:t>7</w:t>
      </w:r>
      <w:r w:rsidRPr="00E859FB">
        <w:rPr>
          <w:rFonts w:ascii="Arial" w:hAnsi="Arial" w:cs="Arial"/>
          <w:sz w:val="20"/>
          <w:szCs w:val="20"/>
        </w:rPr>
        <w:t xml:space="preserve"> days to respond if required]</w:t>
      </w:r>
    </w:p>
    <w:p w14:paraId="588AECDA" w14:textId="77777777" w:rsidR="001A355E" w:rsidRPr="00E859FB" w:rsidRDefault="001A355E" w:rsidP="001A355E">
      <w:pPr>
        <w:pStyle w:val="ListParagraph"/>
        <w:rPr>
          <w:rFonts w:ascii="Arial" w:hAnsi="Arial" w:cs="Arial"/>
          <w:sz w:val="20"/>
          <w:szCs w:val="20"/>
        </w:rPr>
      </w:pPr>
    </w:p>
    <w:p w14:paraId="64AD5689" w14:textId="77777777" w:rsidR="001A355E" w:rsidRPr="00E859FB" w:rsidRDefault="001A355E" w:rsidP="001A355E">
      <w:pPr>
        <w:pStyle w:val="ListParagraph"/>
        <w:numPr>
          <w:ilvl w:val="0"/>
          <w:numId w:val="3"/>
        </w:numPr>
        <w:rPr>
          <w:rFonts w:ascii="Arial" w:hAnsi="Arial" w:cs="Arial"/>
          <w:sz w:val="20"/>
          <w:szCs w:val="20"/>
        </w:rPr>
      </w:pPr>
      <w:r w:rsidRPr="00E859FB">
        <w:rPr>
          <w:rFonts w:ascii="Arial" w:hAnsi="Arial" w:cs="Arial"/>
          <w:sz w:val="20"/>
          <w:szCs w:val="20"/>
        </w:rPr>
        <w:t>Legal advisers must certify in the prescribed form that they have contemporaneously forwarded a copy of the correspondence / attendance notes at 5 &amp; 6 above to their client and that they have appraised them of the range of non-court dispute resolution processes available – to include providing a copy of [the stairway of options  or some other resource?]</w:t>
      </w:r>
    </w:p>
    <w:p w14:paraId="68DDC2D3" w14:textId="77777777" w:rsidR="001A355E" w:rsidRPr="00E859FB" w:rsidRDefault="001A355E" w:rsidP="001A355E">
      <w:pPr>
        <w:pStyle w:val="ListParagraph"/>
        <w:rPr>
          <w:rFonts w:ascii="Arial" w:hAnsi="Arial" w:cs="Arial"/>
          <w:sz w:val="20"/>
          <w:szCs w:val="20"/>
        </w:rPr>
      </w:pPr>
    </w:p>
    <w:p w14:paraId="1E87F890" w14:textId="77777777" w:rsidR="001A355E" w:rsidRPr="00E859FB" w:rsidRDefault="001A355E" w:rsidP="001A355E">
      <w:pPr>
        <w:pStyle w:val="ListParagraph"/>
        <w:numPr>
          <w:ilvl w:val="0"/>
          <w:numId w:val="3"/>
        </w:numPr>
        <w:rPr>
          <w:rFonts w:ascii="Arial" w:hAnsi="Arial" w:cs="Arial"/>
          <w:sz w:val="20"/>
          <w:szCs w:val="20"/>
        </w:rPr>
      </w:pPr>
      <w:r w:rsidRPr="00E859FB">
        <w:rPr>
          <w:rFonts w:ascii="Arial" w:hAnsi="Arial" w:cs="Arial"/>
          <w:sz w:val="20"/>
          <w:szCs w:val="20"/>
        </w:rPr>
        <w:t xml:space="preserve">If the court considers that a non-court dispute resolution process is appropriate and / or that it has been unreasonably refused, or there has been a breach of this Protocol it may </w:t>
      </w:r>
    </w:p>
    <w:p w14:paraId="615772F8" w14:textId="77777777" w:rsidR="001A355E" w:rsidRPr="00E859FB" w:rsidRDefault="001A355E" w:rsidP="001A355E">
      <w:pPr>
        <w:pStyle w:val="ListParagraph"/>
        <w:rPr>
          <w:rFonts w:ascii="Arial" w:hAnsi="Arial" w:cs="Arial"/>
          <w:sz w:val="20"/>
          <w:szCs w:val="20"/>
        </w:rPr>
      </w:pPr>
    </w:p>
    <w:p w14:paraId="72E278F2" w14:textId="77777777" w:rsidR="001A355E" w:rsidRPr="00E859FB" w:rsidRDefault="001A355E" w:rsidP="001A355E">
      <w:pPr>
        <w:pStyle w:val="ListParagraph"/>
        <w:numPr>
          <w:ilvl w:val="0"/>
          <w:numId w:val="4"/>
        </w:numPr>
        <w:rPr>
          <w:rFonts w:ascii="Arial" w:hAnsi="Arial" w:cs="Arial"/>
          <w:sz w:val="20"/>
          <w:szCs w:val="20"/>
        </w:rPr>
      </w:pPr>
      <w:r w:rsidRPr="00E859FB">
        <w:rPr>
          <w:rFonts w:ascii="Arial" w:hAnsi="Arial" w:cs="Arial"/>
          <w:sz w:val="20"/>
          <w:szCs w:val="20"/>
        </w:rPr>
        <w:t>adjourn the proceedings for up to [     ] months [Ungley orders]</w:t>
      </w:r>
    </w:p>
    <w:p w14:paraId="7546C87B" w14:textId="77777777" w:rsidR="001A355E" w:rsidRPr="00E859FB" w:rsidRDefault="001A355E" w:rsidP="001A355E">
      <w:pPr>
        <w:pStyle w:val="ListParagraph"/>
        <w:numPr>
          <w:ilvl w:val="0"/>
          <w:numId w:val="4"/>
        </w:numPr>
        <w:rPr>
          <w:rFonts w:ascii="Arial" w:hAnsi="Arial" w:cs="Arial"/>
          <w:sz w:val="20"/>
          <w:szCs w:val="20"/>
        </w:rPr>
      </w:pPr>
      <w:r w:rsidRPr="00E859FB">
        <w:rPr>
          <w:rFonts w:ascii="Arial" w:hAnsi="Arial" w:cs="Arial"/>
          <w:sz w:val="20"/>
          <w:szCs w:val="20"/>
        </w:rPr>
        <w:t>order compliance of the Part 3 Protocol</w:t>
      </w:r>
    </w:p>
    <w:p w14:paraId="37861E88" w14:textId="77777777" w:rsidR="001A355E" w:rsidRPr="00E859FB" w:rsidRDefault="001A355E" w:rsidP="001A355E">
      <w:pPr>
        <w:pStyle w:val="ListParagraph"/>
        <w:numPr>
          <w:ilvl w:val="0"/>
          <w:numId w:val="4"/>
        </w:numPr>
        <w:rPr>
          <w:rFonts w:ascii="Arial" w:hAnsi="Arial" w:cs="Arial"/>
          <w:sz w:val="20"/>
          <w:szCs w:val="20"/>
        </w:rPr>
      </w:pPr>
      <w:r w:rsidRPr="00E859FB">
        <w:rPr>
          <w:rFonts w:ascii="Arial" w:hAnsi="Arial" w:cs="Arial"/>
          <w:sz w:val="20"/>
          <w:szCs w:val="20"/>
        </w:rPr>
        <w:t xml:space="preserve">Order a private FDR or ENE </w:t>
      </w:r>
    </w:p>
    <w:p w14:paraId="2F4E0706" w14:textId="77777777" w:rsidR="001A355E" w:rsidRPr="00E859FB" w:rsidRDefault="001A355E" w:rsidP="001A355E">
      <w:pPr>
        <w:pStyle w:val="ListParagraph"/>
        <w:numPr>
          <w:ilvl w:val="0"/>
          <w:numId w:val="4"/>
        </w:numPr>
        <w:rPr>
          <w:rFonts w:ascii="Arial" w:hAnsi="Arial" w:cs="Arial"/>
          <w:sz w:val="20"/>
          <w:szCs w:val="20"/>
        </w:rPr>
      </w:pPr>
      <w:r w:rsidRPr="00E859FB">
        <w:rPr>
          <w:rFonts w:ascii="Arial" w:hAnsi="Arial" w:cs="Arial"/>
          <w:sz w:val="20"/>
          <w:szCs w:val="20"/>
        </w:rPr>
        <w:t>make a wasted costs order against a party and / or their legal advisers</w:t>
      </w:r>
    </w:p>
    <w:p w14:paraId="5F702CD2" w14:textId="77777777" w:rsidR="001A355E" w:rsidRPr="00E859FB" w:rsidRDefault="001A355E" w:rsidP="001A355E">
      <w:pPr>
        <w:pStyle w:val="ListParagraph"/>
        <w:numPr>
          <w:ilvl w:val="0"/>
          <w:numId w:val="4"/>
        </w:numPr>
        <w:rPr>
          <w:rFonts w:ascii="Arial" w:hAnsi="Arial" w:cs="Arial"/>
          <w:sz w:val="20"/>
          <w:szCs w:val="20"/>
        </w:rPr>
      </w:pPr>
      <w:r w:rsidRPr="00E859FB">
        <w:rPr>
          <w:rFonts w:ascii="Arial" w:hAnsi="Arial" w:cs="Arial"/>
          <w:sz w:val="20"/>
          <w:szCs w:val="20"/>
        </w:rPr>
        <w:t>[disciplinary proceedings against legal advisers/report for breach of Code etc]</w:t>
      </w:r>
    </w:p>
    <w:p w14:paraId="6D74649B" w14:textId="77777777" w:rsidR="001A355E" w:rsidRPr="00E859FB" w:rsidRDefault="001A355E" w:rsidP="001A355E">
      <w:pPr>
        <w:pStyle w:val="ListParagraph"/>
        <w:ind w:left="1080"/>
        <w:rPr>
          <w:rFonts w:ascii="Arial" w:hAnsi="Arial" w:cs="Arial"/>
          <w:sz w:val="20"/>
          <w:szCs w:val="20"/>
        </w:rPr>
      </w:pPr>
    </w:p>
    <w:p w14:paraId="3F5F0436" w14:textId="6A3EBE9D" w:rsidR="00BA7AB9" w:rsidRPr="00E859FB" w:rsidRDefault="00BA7AB9" w:rsidP="00BA7AB9">
      <w:pPr>
        <w:rPr>
          <w:rFonts w:ascii="Arial" w:hAnsi="Arial" w:cs="Arial"/>
          <w:sz w:val="20"/>
          <w:szCs w:val="20"/>
        </w:rPr>
      </w:pPr>
    </w:p>
    <w:p w14:paraId="04237411" w14:textId="5F285A49" w:rsidR="00E859FB" w:rsidRPr="00E859FB" w:rsidRDefault="00E859FB" w:rsidP="00BA7AB9">
      <w:pPr>
        <w:rPr>
          <w:rFonts w:ascii="Arial" w:hAnsi="Arial" w:cs="Arial"/>
          <w:sz w:val="20"/>
          <w:szCs w:val="20"/>
        </w:rPr>
      </w:pPr>
    </w:p>
    <w:p w14:paraId="2A1C7F82" w14:textId="225461AA" w:rsidR="00E859FB" w:rsidRPr="00E859FB" w:rsidRDefault="00E859FB" w:rsidP="00BA7AB9">
      <w:pPr>
        <w:rPr>
          <w:rFonts w:ascii="Arial" w:hAnsi="Arial" w:cs="Arial"/>
          <w:sz w:val="20"/>
          <w:szCs w:val="20"/>
        </w:rPr>
      </w:pPr>
    </w:p>
    <w:p w14:paraId="1A337C85" w14:textId="443CB1EA" w:rsidR="00E859FB" w:rsidRPr="00E859FB" w:rsidRDefault="00E859FB" w:rsidP="00BA7AB9">
      <w:pPr>
        <w:rPr>
          <w:rFonts w:ascii="Arial" w:hAnsi="Arial" w:cs="Arial"/>
          <w:sz w:val="20"/>
          <w:szCs w:val="20"/>
        </w:rPr>
      </w:pPr>
    </w:p>
    <w:p w14:paraId="67822F4E" w14:textId="085DA040" w:rsidR="00E859FB" w:rsidRPr="00E859FB" w:rsidRDefault="00E859FB" w:rsidP="00BA7AB9">
      <w:pPr>
        <w:rPr>
          <w:rFonts w:ascii="Arial" w:hAnsi="Arial" w:cs="Arial"/>
          <w:sz w:val="20"/>
          <w:szCs w:val="20"/>
        </w:rPr>
      </w:pPr>
    </w:p>
    <w:p w14:paraId="0AD973B9" w14:textId="533923B9" w:rsidR="00E859FB" w:rsidRPr="00E859FB" w:rsidRDefault="00E859FB" w:rsidP="00BA7AB9">
      <w:pPr>
        <w:rPr>
          <w:rFonts w:ascii="Arial" w:hAnsi="Arial" w:cs="Arial"/>
          <w:sz w:val="20"/>
          <w:szCs w:val="20"/>
        </w:rPr>
      </w:pPr>
    </w:p>
    <w:p w14:paraId="521C4DCB" w14:textId="22E13991" w:rsidR="00E859FB" w:rsidRPr="00E859FB" w:rsidRDefault="00E859FB" w:rsidP="00BA7AB9">
      <w:pPr>
        <w:rPr>
          <w:rFonts w:ascii="Arial" w:hAnsi="Arial" w:cs="Arial"/>
          <w:sz w:val="20"/>
          <w:szCs w:val="20"/>
        </w:rPr>
      </w:pPr>
    </w:p>
    <w:p w14:paraId="356A3AD4" w14:textId="475FB7F9" w:rsidR="00E859FB" w:rsidRPr="00E859FB" w:rsidRDefault="00E859FB" w:rsidP="00BA7AB9">
      <w:pPr>
        <w:rPr>
          <w:rFonts w:ascii="Arial" w:hAnsi="Arial" w:cs="Arial"/>
          <w:sz w:val="20"/>
          <w:szCs w:val="20"/>
        </w:rPr>
      </w:pPr>
    </w:p>
    <w:p w14:paraId="3E21A6F2" w14:textId="2C0E6370" w:rsidR="00E859FB" w:rsidRPr="00E859FB" w:rsidRDefault="00E859FB" w:rsidP="00BA7AB9">
      <w:pPr>
        <w:rPr>
          <w:rFonts w:ascii="Arial" w:hAnsi="Arial" w:cs="Arial"/>
          <w:sz w:val="20"/>
          <w:szCs w:val="20"/>
        </w:rPr>
      </w:pPr>
    </w:p>
    <w:p w14:paraId="3F098B24" w14:textId="6C2BBA8B" w:rsidR="00E859FB" w:rsidRPr="00E859FB" w:rsidRDefault="00E859FB" w:rsidP="00BA7AB9">
      <w:pPr>
        <w:rPr>
          <w:rFonts w:ascii="Arial" w:hAnsi="Arial" w:cs="Arial"/>
          <w:sz w:val="20"/>
          <w:szCs w:val="20"/>
        </w:rPr>
      </w:pPr>
    </w:p>
    <w:p w14:paraId="64A057DC" w14:textId="76578C61" w:rsidR="00E859FB" w:rsidRPr="00E859FB" w:rsidRDefault="00E859FB" w:rsidP="00BA7AB9">
      <w:pPr>
        <w:rPr>
          <w:rFonts w:ascii="Arial" w:hAnsi="Arial" w:cs="Arial"/>
          <w:sz w:val="20"/>
          <w:szCs w:val="20"/>
        </w:rPr>
      </w:pPr>
    </w:p>
    <w:p w14:paraId="17B14FF0" w14:textId="085476D8" w:rsidR="00E859FB" w:rsidRPr="00E859FB" w:rsidRDefault="00E859FB" w:rsidP="00BA7AB9">
      <w:pPr>
        <w:rPr>
          <w:rFonts w:ascii="Arial" w:hAnsi="Arial" w:cs="Arial"/>
          <w:sz w:val="20"/>
          <w:szCs w:val="20"/>
        </w:rPr>
      </w:pPr>
    </w:p>
    <w:p w14:paraId="2B5FE8FA" w14:textId="1979949E" w:rsidR="00E859FB" w:rsidRPr="00E859FB" w:rsidRDefault="00E859FB" w:rsidP="00BA7AB9">
      <w:pPr>
        <w:rPr>
          <w:rFonts w:ascii="Arial" w:hAnsi="Arial" w:cs="Arial"/>
          <w:sz w:val="20"/>
          <w:szCs w:val="20"/>
        </w:rPr>
      </w:pPr>
    </w:p>
    <w:p w14:paraId="6847240C" w14:textId="0C3ED879" w:rsidR="00E859FB" w:rsidRPr="00E859FB" w:rsidRDefault="00E859FB" w:rsidP="00BA7AB9">
      <w:pPr>
        <w:rPr>
          <w:rFonts w:ascii="Arial" w:hAnsi="Arial" w:cs="Arial"/>
          <w:sz w:val="20"/>
          <w:szCs w:val="20"/>
        </w:rPr>
      </w:pPr>
    </w:p>
    <w:p w14:paraId="620353F3" w14:textId="34B881BF" w:rsidR="00E859FB" w:rsidRPr="00E859FB" w:rsidRDefault="00E859FB" w:rsidP="00BA7AB9">
      <w:pPr>
        <w:rPr>
          <w:rFonts w:ascii="Arial" w:hAnsi="Arial" w:cs="Arial"/>
          <w:sz w:val="20"/>
          <w:szCs w:val="20"/>
        </w:rPr>
      </w:pPr>
    </w:p>
    <w:p w14:paraId="25564884" w14:textId="7A28B868" w:rsidR="00E859FB" w:rsidRPr="00E859FB" w:rsidRDefault="00E859FB" w:rsidP="00BA7AB9">
      <w:pPr>
        <w:rPr>
          <w:rFonts w:ascii="Arial" w:hAnsi="Arial" w:cs="Arial"/>
          <w:sz w:val="20"/>
          <w:szCs w:val="20"/>
        </w:rPr>
      </w:pPr>
    </w:p>
    <w:p w14:paraId="0737606D" w14:textId="5B0F333F" w:rsidR="00E859FB" w:rsidRDefault="00E859FB" w:rsidP="00BA7AB9">
      <w:pPr>
        <w:rPr>
          <w:rFonts w:ascii="Arial" w:hAnsi="Arial" w:cs="Arial"/>
          <w:sz w:val="20"/>
          <w:szCs w:val="20"/>
        </w:rPr>
      </w:pPr>
    </w:p>
    <w:p w14:paraId="712DCD87" w14:textId="0532A57D" w:rsidR="00E859FB" w:rsidRDefault="00E859FB" w:rsidP="00BA7AB9">
      <w:pPr>
        <w:rPr>
          <w:rFonts w:ascii="Arial" w:hAnsi="Arial" w:cs="Arial"/>
          <w:sz w:val="20"/>
          <w:szCs w:val="20"/>
        </w:rPr>
      </w:pPr>
    </w:p>
    <w:p w14:paraId="03036031" w14:textId="338DD89F" w:rsidR="00E859FB" w:rsidRDefault="00E859FB" w:rsidP="00BA7AB9">
      <w:pPr>
        <w:rPr>
          <w:rFonts w:ascii="Arial" w:hAnsi="Arial" w:cs="Arial"/>
          <w:sz w:val="20"/>
          <w:szCs w:val="20"/>
        </w:rPr>
      </w:pPr>
    </w:p>
    <w:p w14:paraId="63BC14AB" w14:textId="4B54D44D" w:rsidR="00E859FB" w:rsidRDefault="00E859FB" w:rsidP="00BA7AB9">
      <w:pPr>
        <w:rPr>
          <w:rFonts w:ascii="Arial" w:hAnsi="Arial" w:cs="Arial"/>
          <w:sz w:val="20"/>
          <w:szCs w:val="20"/>
        </w:rPr>
      </w:pPr>
    </w:p>
    <w:p w14:paraId="106163C5" w14:textId="033D2F39" w:rsidR="00392583" w:rsidRDefault="00392583" w:rsidP="00BA7AB9">
      <w:pPr>
        <w:rPr>
          <w:rFonts w:ascii="Arial" w:hAnsi="Arial" w:cs="Arial"/>
          <w:sz w:val="20"/>
          <w:szCs w:val="20"/>
        </w:rPr>
      </w:pPr>
    </w:p>
    <w:p w14:paraId="5D494917" w14:textId="5F85D7B7" w:rsidR="00392583" w:rsidRDefault="00392583" w:rsidP="00BA7AB9">
      <w:pPr>
        <w:rPr>
          <w:rFonts w:ascii="Arial" w:hAnsi="Arial" w:cs="Arial"/>
          <w:sz w:val="20"/>
          <w:szCs w:val="20"/>
        </w:rPr>
      </w:pPr>
    </w:p>
    <w:p w14:paraId="6FCDD543" w14:textId="467B60C1" w:rsidR="00E859FB" w:rsidRPr="00E859FB" w:rsidRDefault="00E859FB" w:rsidP="00BA7AB9">
      <w:pPr>
        <w:rPr>
          <w:rFonts w:ascii="Arial" w:hAnsi="Arial" w:cs="Arial"/>
          <w:sz w:val="20"/>
          <w:szCs w:val="20"/>
        </w:rPr>
      </w:pPr>
    </w:p>
    <w:p w14:paraId="063B97DF" w14:textId="373DEBA0" w:rsidR="00E859FB" w:rsidRPr="00E859FB" w:rsidRDefault="00E859FB" w:rsidP="00BA7AB9">
      <w:pPr>
        <w:rPr>
          <w:rFonts w:ascii="Arial" w:hAnsi="Arial" w:cs="Arial"/>
          <w:sz w:val="20"/>
          <w:szCs w:val="20"/>
        </w:rPr>
      </w:pPr>
    </w:p>
    <w:p w14:paraId="5D853A01" w14:textId="77777777" w:rsidR="00E859FB" w:rsidRPr="00E859FB" w:rsidRDefault="00E859FB" w:rsidP="00BA7AB9">
      <w:pPr>
        <w:rPr>
          <w:rFonts w:ascii="Arial" w:hAnsi="Arial" w:cs="Arial"/>
          <w:sz w:val="20"/>
          <w:szCs w:val="20"/>
        </w:rPr>
      </w:pPr>
    </w:p>
    <w:sectPr w:rsidR="00E859FB" w:rsidRPr="00E859FB" w:rsidSect="00EB09C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E4EE5" w14:textId="77777777" w:rsidR="00A57296" w:rsidRDefault="00A57296" w:rsidP="001A355E">
      <w:r>
        <w:separator/>
      </w:r>
    </w:p>
  </w:endnote>
  <w:endnote w:type="continuationSeparator" w:id="0">
    <w:p w14:paraId="3AE43273" w14:textId="77777777" w:rsidR="00A57296" w:rsidRDefault="00A57296" w:rsidP="001A355E">
      <w:r>
        <w:continuationSeparator/>
      </w:r>
    </w:p>
  </w:endnote>
  <w:endnote w:id="1">
    <w:p w14:paraId="583161D9" w14:textId="77777777" w:rsidR="00CD3C59" w:rsidRPr="00E859FB" w:rsidRDefault="00CD3C59" w:rsidP="001A355E">
      <w:pPr>
        <w:outlineLvl w:val="3"/>
        <w:rPr>
          <w:rFonts w:ascii="Arial" w:hAnsi="Arial" w:cs="Arial"/>
          <w:color w:val="7D7864"/>
          <w:sz w:val="20"/>
          <w:szCs w:val="20"/>
        </w:rPr>
      </w:pPr>
    </w:p>
    <w:p w14:paraId="7983A14A" w14:textId="77777777" w:rsidR="00CD3C59" w:rsidRPr="00E859FB" w:rsidRDefault="00CD3C59" w:rsidP="001A355E">
      <w:pPr>
        <w:outlineLvl w:val="3"/>
        <w:rPr>
          <w:rFonts w:ascii="Arial" w:hAnsi="Arial" w:cs="Arial"/>
          <w:color w:val="7D7864"/>
          <w:sz w:val="20"/>
          <w:szCs w:val="20"/>
        </w:rPr>
      </w:pPr>
    </w:p>
    <w:p w14:paraId="49CF9476" w14:textId="77777777" w:rsidR="00CD3C59" w:rsidRPr="00E859FB" w:rsidRDefault="00CD3C59" w:rsidP="001A355E">
      <w:pPr>
        <w:rPr>
          <w:rFonts w:ascii="Arial" w:hAnsi="Arial" w:cs="Arial"/>
          <w:sz w:val="20"/>
          <w:szCs w:val="20"/>
        </w:rPr>
      </w:pPr>
      <w:r w:rsidRPr="00E859FB">
        <w:rPr>
          <w:rStyle w:val="EndnoteReference"/>
          <w:rFonts w:ascii="Arial" w:hAnsi="Arial" w:cs="Arial"/>
          <w:sz w:val="20"/>
          <w:szCs w:val="20"/>
        </w:rPr>
        <w:endnoteRef/>
      </w:r>
      <w:r w:rsidRPr="00E859FB">
        <w:rPr>
          <w:rFonts w:ascii="Arial" w:hAnsi="Arial" w:cs="Arial"/>
          <w:sz w:val="20"/>
          <w:szCs w:val="20"/>
        </w:rPr>
        <w:t xml:space="preserve"> PART 3 FAMILY PROCEDURE RULES – NON-COURT DISPUTE RESOLUTION</w:t>
      </w:r>
    </w:p>
    <w:p w14:paraId="3B7F4105" w14:textId="77777777" w:rsidR="00CD3C59" w:rsidRPr="00E859FB" w:rsidRDefault="00CD3C59" w:rsidP="001A355E">
      <w:pPr>
        <w:rPr>
          <w:rFonts w:ascii="Arial" w:hAnsi="Arial" w:cs="Arial"/>
          <w:sz w:val="20"/>
          <w:szCs w:val="20"/>
        </w:rPr>
      </w:pPr>
    </w:p>
    <w:p w14:paraId="1BEE219A" w14:textId="77777777" w:rsidR="00CD3C59" w:rsidRPr="00E859FB" w:rsidRDefault="00CD3C59" w:rsidP="001A355E">
      <w:pPr>
        <w:outlineLvl w:val="1"/>
        <w:rPr>
          <w:rFonts w:ascii="Arial" w:hAnsi="Arial" w:cs="Arial"/>
          <w:color w:val="9B9B9B"/>
          <w:sz w:val="20"/>
          <w:szCs w:val="20"/>
        </w:rPr>
      </w:pPr>
      <w:r w:rsidRPr="00E859FB">
        <w:rPr>
          <w:rFonts w:ascii="Arial" w:hAnsi="Arial" w:cs="Arial"/>
          <w:color w:val="9B9B9B"/>
          <w:sz w:val="20"/>
          <w:szCs w:val="20"/>
        </w:rPr>
        <w:t>II THE COURT'S DUTY AND POWERS GENERALLY</w:t>
      </w:r>
    </w:p>
    <w:p w14:paraId="198BE10C" w14:textId="77777777" w:rsidR="00CD3C59" w:rsidRPr="00E859FB" w:rsidRDefault="00CD3C59" w:rsidP="001A355E">
      <w:pPr>
        <w:outlineLvl w:val="1"/>
        <w:rPr>
          <w:rFonts w:ascii="Arial" w:hAnsi="Arial" w:cs="Arial"/>
          <w:color w:val="9B9B9B"/>
          <w:sz w:val="20"/>
          <w:szCs w:val="20"/>
        </w:rPr>
      </w:pPr>
    </w:p>
    <w:p w14:paraId="26454381" w14:textId="77777777" w:rsidR="00CD3C59" w:rsidRPr="00E859FB" w:rsidRDefault="00CD3C59" w:rsidP="001A355E">
      <w:pPr>
        <w:outlineLvl w:val="2"/>
        <w:rPr>
          <w:rFonts w:ascii="Arial" w:hAnsi="Arial" w:cs="Arial"/>
          <w:color w:val="202020"/>
          <w:sz w:val="20"/>
          <w:szCs w:val="20"/>
        </w:rPr>
      </w:pPr>
      <w:bookmarkStart w:id="0" w:name="IDAAMWYB"/>
      <w:bookmarkStart w:id="1" w:name="para3.2"/>
      <w:bookmarkEnd w:id="0"/>
      <w:bookmarkEnd w:id="1"/>
      <w:r w:rsidRPr="00E859FB">
        <w:rPr>
          <w:rFonts w:ascii="Arial" w:hAnsi="Arial" w:cs="Arial"/>
          <w:color w:val="202020"/>
          <w:sz w:val="20"/>
          <w:szCs w:val="20"/>
        </w:rPr>
        <w:t>Scope of this Chapter</w:t>
      </w:r>
    </w:p>
    <w:p w14:paraId="4A3B83E7" w14:textId="77777777" w:rsidR="00CD3C59" w:rsidRPr="00E859FB" w:rsidRDefault="00CD3C59" w:rsidP="001A355E">
      <w:pPr>
        <w:outlineLvl w:val="3"/>
        <w:rPr>
          <w:rFonts w:ascii="Arial" w:hAnsi="Arial" w:cs="Arial"/>
          <w:color w:val="7D7864"/>
          <w:sz w:val="20"/>
          <w:szCs w:val="20"/>
        </w:rPr>
      </w:pPr>
    </w:p>
    <w:p w14:paraId="68401F2A" w14:textId="77777777" w:rsidR="00CD3C59" w:rsidRPr="00E859FB" w:rsidRDefault="00CD3C59" w:rsidP="001A355E">
      <w:pPr>
        <w:outlineLvl w:val="3"/>
        <w:rPr>
          <w:rFonts w:ascii="Arial" w:hAnsi="Arial" w:cs="Arial"/>
          <w:color w:val="7D7864"/>
          <w:sz w:val="20"/>
          <w:szCs w:val="20"/>
        </w:rPr>
      </w:pPr>
      <w:r w:rsidRPr="00E859FB">
        <w:rPr>
          <w:rFonts w:ascii="Arial" w:hAnsi="Arial" w:cs="Arial"/>
          <w:color w:val="7D7864"/>
          <w:sz w:val="20"/>
          <w:szCs w:val="20"/>
        </w:rPr>
        <w:t>3.2</w:t>
      </w:r>
    </w:p>
    <w:p w14:paraId="7EF87DD3" w14:textId="77777777" w:rsidR="00CD3C59" w:rsidRPr="00E859FB" w:rsidRDefault="00CD3C59" w:rsidP="001A355E">
      <w:pPr>
        <w:rPr>
          <w:rFonts w:ascii="Arial" w:hAnsi="Arial" w:cs="Arial"/>
          <w:color w:val="000000"/>
          <w:sz w:val="20"/>
          <w:szCs w:val="20"/>
        </w:rPr>
      </w:pPr>
      <w:bookmarkStart w:id="2" w:name="IDAGMWYB"/>
      <w:bookmarkEnd w:id="2"/>
      <w:r w:rsidRPr="00E859FB">
        <w:rPr>
          <w:rFonts w:ascii="Arial" w:hAnsi="Arial" w:cs="Arial"/>
          <w:color w:val="000000"/>
          <w:sz w:val="20"/>
          <w:szCs w:val="20"/>
        </w:rPr>
        <w:t>This Chapter contains the court's duty and powers to encourage and facilitate the use of non-court dispute resolution.</w:t>
      </w:r>
    </w:p>
    <w:p w14:paraId="1DFFF340" w14:textId="77777777" w:rsidR="00CD3C59" w:rsidRPr="00E859FB" w:rsidRDefault="00CD3C59" w:rsidP="001A355E">
      <w:pPr>
        <w:rPr>
          <w:rFonts w:ascii="Arial" w:hAnsi="Arial" w:cs="Arial"/>
          <w:color w:val="000000"/>
          <w:sz w:val="20"/>
          <w:szCs w:val="20"/>
        </w:rPr>
      </w:pPr>
    </w:p>
    <w:p w14:paraId="7F23B1CB" w14:textId="77777777" w:rsidR="00CD3C59" w:rsidRPr="00E859FB" w:rsidRDefault="00CD3C59" w:rsidP="001A355E">
      <w:pPr>
        <w:outlineLvl w:val="2"/>
        <w:rPr>
          <w:rFonts w:ascii="Arial" w:hAnsi="Arial" w:cs="Arial"/>
          <w:color w:val="202020"/>
          <w:sz w:val="20"/>
          <w:szCs w:val="20"/>
        </w:rPr>
      </w:pPr>
      <w:bookmarkStart w:id="3" w:name="para3.3"/>
      <w:bookmarkEnd w:id="3"/>
      <w:r w:rsidRPr="00E859FB">
        <w:rPr>
          <w:rFonts w:ascii="Arial" w:hAnsi="Arial" w:cs="Arial"/>
          <w:color w:val="202020"/>
          <w:sz w:val="20"/>
          <w:szCs w:val="20"/>
        </w:rPr>
        <w:t>The court's duty to consider non-court dispute resolution</w:t>
      </w:r>
    </w:p>
    <w:p w14:paraId="1768A6E5" w14:textId="77777777" w:rsidR="00CD3C59" w:rsidRPr="00E859FB" w:rsidRDefault="00CD3C59" w:rsidP="001A355E">
      <w:pPr>
        <w:outlineLvl w:val="3"/>
        <w:rPr>
          <w:rFonts w:ascii="Arial" w:hAnsi="Arial" w:cs="Arial"/>
          <w:color w:val="7D7864"/>
          <w:sz w:val="20"/>
          <w:szCs w:val="20"/>
        </w:rPr>
      </w:pPr>
      <w:r w:rsidRPr="00E859FB">
        <w:rPr>
          <w:rFonts w:ascii="Arial" w:hAnsi="Arial" w:cs="Arial"/>
          <w:color w:val="7D7864"/>
          <w:sz w:val="20"/>
          <w:szCs w:val="20"/>
        </w:rPr>
        <w:t>3.3</w:t>
      </w:r>
    </w:p>
    <w:p w14:paraId="24D75345" w14:textId="77777777" w:rsidR="00CD3C59" w:rsidRPr="00E859FB" w:rsidRDefault="00CD3C59" w:rsidP="001A355E">
      <w:pPr>
        <w:rPr>
          <w:rFonts w:ascii="Arial" w:hAnsi="Arial" w:cs="Arial"/>
          <w:color w:val="000000"/>
          <w:sz w:val="20"/>
          <w:szCs w:val="20"/>
        </w:rPr>
      </w:pPr>
      <w:bookmarkStart w:id="4" w:name="IDAVMWYB"/>
      <w:bookmarkEnd w:id="4"/>
      <w:r w:rsidRPr="00E859FB">
        <w:rPr>
          <w:rFonts w:ascii="Arial" w:hAnsi="Arial" w:cs="Arial"/>
          <w:color w:val="000000"/>
          <w:sz w:val="20"/>
          <w:szCs w:val="20"/>
        </w:rPr>
        <w:t>(1) The court must consider, at every stage in proceedings, whether non-court dispute resolution is appropriate.</w:t>
      </w:r>
    </w:p>
    <w:p w14:paraId="73A23AC1" w14:textId="77777777" w:rsidR="00CD3C59" w:rsidRPr="00E859FB" w:rsidRDefault="00CD3C59" w:rsidP="001A355E">
      <w:pPr>
        <w:rPr>
          <w:rFonts w:ascii="Arial" w:hAnsi="Arial" w:cs="Arial"/>
          <w:color w:val="000000"/>
          <w:sz w:val="20"/>
          <w:szCs w:val="20"/>
        </w:rPr>
      </w:pPr>
      <w:bookmarkStart w:id="5" w:name="IDA4MWYB"/>
      <w:bookmarkEnd w:id="5"/>
      <w:r w:rsidRPr="00E859FB">
        <w:rPr>
          <w:rFonts w:ascii="Arial" w:hAnsi="Arial" w:cs="Arial"/>
          <w:color w:val="000000"/>
          <w:sz w:val="20"/>
          <w:szCs w:val="20"/>
        </w:rPr>
        <w:t xml:space="preserve">(2) In considering whether non-court dispute resolution is appropriate in proceedings which were commenced by a relevant family application, the court must take into account </w:t>
      </w:r>
      <w:bookmarkStart w:id="6" w:name="IDAFNWYB"/>
      <w:bookmarkEnd w:id="6"/>
      <w:r w:rsidRPr="00E859FB">
        <w:rPr>
          <w:rFonts w:ascii="Arial" w:hAnsi="Arial" w:cs="Arial"/>
          <w:color w:val="000000"/>
          <w:sz w:val="20"/>
          <w:szCs w:val="20"/>
        </w:rPr>
        <w:t>–</w:t>
      </w:r>
    </w:p>
    <w:p w14:paraId="31B50343" w14:textId="77777777" w:rsidR="00CD3C59" w:rsidRPr="00E859FB" w:rsidRDefault="00CD3C59" w:rsidP="001A355E">
      <w:pPr>
        <w:rPr>
          <w:rFonts w:ascii="Arial" w:hAnsi="Arial" w:cs="Arial"/>
          <w:color w:val="000000"/>
          <w:sz w:val="20"/>
          <w:szCs w:val="20"/>
        </w:rPr>
      </w:pPr>
    </w:p>
    <w:p w14:paraId="084AF2A4" w14:textId="77777777" w:rsidR="00CD3C59" w:rsidRPr="00E859FB" w:rsidRDefault="00CD3C59" w:rsidP="001A355E">
      <w:pPr>
        <w:rPr>
          <w:rFonts w:ascii="Arial" w:hAnsi="Arial" w:cs="Arial"/>
          <w:color w:val="000000"/>
          <w:sz w:val="20"/>
          <w:szCs w:val="20"/>
        </w:rPr>
      </w:pPr>
      <w:r w:rsidRPr="00E859FB">
        <w:rPr>
          <w:rFonts w:ascii="Arial" w:hAnsi="Arial" w:cs="Arial"/>
          <w:color w:val="000000"/>
          <w:sz w:val="20"/>
          <w:szCs w:val="20"/>
        </w:rPr>
        <w:t>(a) whether a MIAM took place;</w:t>
      </w:r>
    </w:p>
    <w:p w14:paraId="3E4B3420" w14:textId="77777777" w:rsidR="00CD3C59" w:rsidRPr="00E859FB" w:rsidRDefault="00CD3C59" w:rsidP="001A355E">
      <w:pPr>
        <w:rPr>
          <w:rFonts w:ascii="Arial" w:hAnsi="Arial" w:cs="Arial"/>
          <w:color w:val="000000"/>
          <w:sz w:val="20"/>
          <w:szCs w:val="20"/>
        </w:rPr>
      </w:pPr>
      <w:bookmarkStart w:id="7" w:name="IDAONWYB"/>
      <w:bookmarkEnd w:id="7"/>
      <w:r w:rsidRPr="00E859FB">
        <w:rPr>
          <w:rFonts w:ascii="Arial" w:hAnsi="Arial" w:cs="Arial"/>
          <w:color w:val="000000"/>
          <w:sz w:val="20"/>
          <w:szCs w:val="20"/>
        </w:rPr>
        <w:t>(b) whether a valid MIAM exemption was claimed or mediator's exemption was confirmed; and</w:t>
      </w:r>
    </w:p>
    <w:p w14:paraId="661B9274" w14:textId="77777777" w:rsidR="00CD3C59" w:rsidRPr="00E859FB" w:rsidRDefault="00CD3C59" w:rsidP="001A355E">
      <w:pPr>
        <w:rPr>
          <w:rFonts w:ascii="Arial" w:hAnsi="Arial" w:cs="Arial"/>
          <w:color w:val="000000"/>
          <w:sz w:val="20"/>
          <w:szCs w:val="20"/>
        </w:rPr>
      </w:pPr>
      <w:bookmarkStart w:id="8" w:name="IDAXNWYB"/>
      <w:bookmarkEnd w:id="8"/>
      <w:r w:rsidRPr="00E859FB">
        <w:rPr>
          <w:rFonts w:ascii="Arial" w:hAnsi="Arial" w:cs="Arial"/>
          <w:color w:val="000000"/>
          <w:sz w:val="20"/>
          <w:szCs w:val="20"/>
        </w:rPr>
        <w:t>(c) whether the parties attempted mediation or another form of non-court dispute resolution and the outcome of that process.</w:t>
      </w:r>
    </w:p>
    <w:p w14:paraId="4ACE5C62" w14:textId="77777777" w:rsidR="00CD3C59" w:rsidRPr="00E859FB" w:rsidRDefault="00CD3C59" w:rsidP="001A355E">
      <w:pPr>
        <w:rPr>
          <w:rFonts w:ascii="Arial" w:hAnsi="Arial" w:cs="Arial"/>
          <w:color w:val="000000"/>
          <w:sz w:val="20"/>
          <w:szCs w:val="20"/>
        </w:rPr>
      </w:pPr>
    </w:p>
    <w:p w14:paraId="69BAF92F" w14:textId="77777777" w:rsidR="00CD3C59" w:rsidRPr="00E859FB" w:rsidRDefault="00CD3C59" w:rsidP="001A355E">
      <w:pPr>
        <w:outlineLvl w:val="2"/>
        <w:rPr>
          <w:rFonts w:ascii="Arial" w:hAnsi="Arial" w:cs="Arial"/>
          <w:color w:val="202020"/>
          <w:sz w:val="20"/>
          <w:szCs w:val="20"/>
        </w:rPr>
      </w:pPr>
      <w:bookmarkStart w:id="9" w:name="para3.4"/>
      <w:bookmarkEnd w:id="9"/>
      <w:r w:rsidRPr="00E859FB">
        <w:rPr>
          <w:rFonts w:ascii="Arial" w:hAnsi="Arial" w:cs="Arial"/>
          <w:color w:val="202020"/>
          <w:sz w:val="20"/>
          <w:szCs w:val="20"/>
        </w:rPr>
        <w:t>When the court will adjourn proceedings or a hearing in proceedings</w:t>
      </w:r>
    </w:p>
    <w:p w14:paraId="44F67B42" w14:textId="77777777" w:rsidR="00CD3C59" w:rsidRPr="00E859FB" w:rsidRDefault="00CD3C59" w:rsidP="001A355E">
      <w:pPr>
        <w:outlineLvl w:val="3"/>
        <w:rPr>
          <w:rFonts w:ascii="Arial" w:hAnsi="Arial" w:cs="Arial"/>
          <w:color w:val="7D7864"/>
          <w:sz w:val="20"/>
          <w:szCs w:val="20"/>
        </w:rPr>
      </w:pPr>
      <w:r w:rsidRPr="00E859FB">
        <w:rPr>
          <w:rFonts w:ascii="Arial" w:hAnsi="Arial" w:cs="Arial"/>
          <w:color w:val="7D7864"/>
          <w:sz w:val="20"/>
          <w:szCs w:val="20"/>
        </w:rPr>
        <w:t>3.4</w:t>
      </w:r>
    </w:p>
    <w:p w14:paraId="3EE35E21" w14:textId="77777777" w:rsidR="00CD3C59" w:rsidRPr="00E859FB" w:rsidRDefault="00CD3C59" w:rsidP="001A355E">
      <w:pPr>
        <w:rPr>
          <w:rFonts w:ascii="Arial" w:hAnsi="Arial" w:cs="Arial"/>
          <w:color w:val="000000"/>
          <w:sz w:val="20"/>
          <w:szCs w:val="20"/>
        </w:rPr>
      </w:pPr>
      <w:bookmarkStart w:id="10" w:name="IDAKOWYB"/>
      <w:bookmarkEnd w:id="10"/>
      <w:r w:rsidRPr="00E859FB">
        <w:rPr>
          <w:rFonts w:ascii="Arial" w:hAnsi="Arial" w:cs="Arial"/>
          <w:color w:val="000000"/>
          <w:sz w:val="20"/>
          <w:szCs w:val="20"/>
        </w:rPr>
        <w:t>(1) If the court considers that non-court dispute resolution is appropriate, it may direct that the proceedings, or a hearing in the proceedings, be adjourned for such specified period as it considers appropriate –</w:t>
      </w:r>
    </w:p>
    <w:p w14:paraId="339EF8F2" w14:textId="77777777" w:rsidR="00CD3C59" w:rsidRPr="00E859FB" w:rsidRDefault="00CD3C59" w:rsidP="001A355E">
      <w:pPr>
        <w:rPr>
          <w:rFonts w:ascii="Arial" w:hAnsi="Arial" w:cs="Arial"/>
          <w:color w:val="000000"/>
          <w:sz w:val="20"/>
          <w:szCs w:val="20"/>
        </w:rPr>
      </w:pPr>
      <w:bookmarkStart w:id="11" w:name="IDAROWYB"/>
      <w:bookmarkEnd w:id="11"/>
      <w:r w:rsidRPr="00E859FB">
        <w:rPr>
          <w:rFonts w:ascii="Arial" w:hAnsi="Arial" w:cs="Arial"/>
          <w:color w:val="000000"/>
          <w:sz w:val="20"/>
          <w:szCs w:val="20"/>
        </w:rPr>
        <w:t>(a) to enable the parties to obtain information and advice about, and consider using, non-court dispute resolution; and</w:t>
      </w:r>
    </w:p>
    <w:p w14:paraId="74C13766" w14:textId="77777777" w:rsidR="00CD3C59" w:rsidRPr="00E859FB" w:rsidRDefault="00CD3C59" w:rsidP="001A355E">
      <w:pPr>
        <w:rPr>
          <w:rFonts w:ascii="Arial" w:hAnsi="Arial" w:cs="Arial"/>
          <w:color w:val="000000"/>
          <w:sz w:val="20"/>
          <w:szCs w:val="20"/>
        </w:rPr>
      </w:pPr>
      <w:bookmarkStart w:id="12" w:name="IDA0OWYB"/>
      <w:bookmarkEnd w:id="12"/>
      <w:r w:rsidRPr="00E859FB">
        <w:rPr>
          <w:rFonts w:ascii="Arial" w:hAnsi="Arial" w:cs="Arial"/>
          <w:color w:val="000000"/>
          <w:sz w:val="20"/>
          <w:szCs w:val="20"/>
        </w:rPr>
        <w:t>(b) where the parties agree, to enable non-court dispute resolution to take place.</w:t>
      </w:r>
    </w:p>
    <w:p w14:paraId="33773BF1" w14:textId="77777777" w:rsidR="00CD3C59" w:rsidRPr="00E859FB" w:rsidRDefault="00CD3C59" w:rsidP="001A355E">
      <w:pPr>
        <w:rPr>
          <w:rFonts w:ascii="Arial" w:hAnsi="Arial" w:cs="Arial"/>
          <w:color w:val="000000"/>
          <w:sz w:val="20"/>
          <w:szCs w:val="20"/>
        </w:rPr>
      </w:pPr>
      <w:bookmarkStart w:id="13" w:name="IDAFPWYB"/>
      <w:bookmarkEnd w:id="13"/>
      <w:r w:rsidRPr="00E859FB">
        <w:rPr>
          <w:rFonts w:ascii="Arial" w:hAnsi="Arial" w:cs="Arial"/>
          <w:color w:val="000000"/>
          <w:sz w:val="20"/>
          <w:szCs w:val="20"/>
        </w:rPr>
        <w:t>(2) The court may give directions under this rule on an application or of its own initiative.</w:t>
      </w:r>
    </w:p>
    <w:p w14:paraId="00435802" w14:textId="77777777" w:rsidR="00CD3C59" w:rsidRPr="00E859FB" w:rsidRDefault="00CD3C59" w:rsidP="001A355E">
      <w:pPr>
        <w:rPr>
          <w:rFonts w:ascii="Arial" w:hAnsi="Arial" w:cs="Arial"/>
          <w:color w:val="000000"/>
          <w:sz w:val="20"/>
          <w:szCs w:val="20"/>
        </w:rPr>
      </w:pPr>
      <w:bookmarkStart w:id="14" w:name="IDAOPWYB"/>
      <w:bookmarkEnd w:id="14"/>
      <w:r w:rsidRPr="00E859FB">
        <w:rPr>
          <w:rFonts w:ascii="Arial" w:hAnsi="Arial" w:cs="Arial"/>
          <w:color w:val="000000"/>
          <w:sz w:val="20"/>
          <w:szCs w:val="20"/>
        </w:rPr>
        <w:t>(3) Where the court directs an adjournment under this rule, it will give directions about the timing and method by which the parties must tell the court if any of the issues in the proceedings have been resolved.</w:t>
      </w:r>
    </w:p>
    <w:p w14:paraId="3293F4D5" w14:textId="77777777" w:rsidR="00CD3C59" w:rsidRPr="00E859FB" w:rsidRDefault="00CD3C59" w:rsidP="001A355E">
      <w:pPr>
        <w:rPr>
          <w:rFonts w:ascii="Arial" w:hAnsi="Arial" w:cs="Arial"/>
          <w:color w:val="000000"/>
          <w:sz w:val="20"/>
          <w:szCs w:val="20"/>
        </w:rPr>
      </w:pPr>
      <w:bookmarkStart w:id="15" w:name="IDAXPWYB"/>
      <w:bookmarkEnd w:id="15"/>
      <w:r w:rsidRPr="00E859FB">
        <w:rPr>
          <w:rFonts w:ascii="Arial" w:hAnsi="Arial" w:cs="Arial"/>
          <w:color w:val="000000"/>
          <w:sz w:val="20"/>
          <w:szCs w:val="20"/>
        </w:rPr>
        <w:t>(4) If the parties do not tell the court if any of the issues have been resolved as directed under paragraph (3), the court will give such directions as to the management of the case as it considers appropriate.</w:t>
      </w:r>
    </w:p>
    <w:p w14:paraId="71245A62" w14:textId="77777777" w:rsidR="00CD3C59" w:rsidRPr="00E859FB" w:rsidRDefault="00CD3C59" w:rsidP="001A355E">
      <w:pPr>
        <w:rPr>
          <w:rFonts w:ascii="Arial" w:hAnsi="Arial" w:cs="Arial"/>
          <w:color w:val="000000"/>
          <w:sz w:val="20"/>
          <w:szCs w:val="20"/>
        </w:rPr>
      </w:pPr>
      <w:bookmarkStart w:id="16" w:name="IDADQY0"/>
      <w:bookmarkEnd w:id="16"/>
      <w:r w:rsidRPr="00E859FB">
        <w:rPr>
          <w:rFonts w:ascii="Arial" w:hAnsi="Arial" w:cs="Arial"/>
          <w:color w:val="000000"/>
          <w:sz w:val="20"/>
          <w:szCs w:val="20"/>
        </w:rPr>
        <w:t>(5) The court or court officer will –</w:t>
      </w:r>
    </w:p>
    <w:p w14:paraId="1AAC4303" w14:textId="77777777" w:rsidR="00CD3C59" w:rsidRPr="00E859FB" w:rsidRDefault="00CD3C59" w:rsidP="001A355E">
      <w:pPr>
        <w:rPr>
          <w:rFonts w:ascii="Arial" w:hAnsi="Arial" w:cs="Arial"/>
          <w:color w:val="000000"/>
          <w:sz w:val="20"/>
          <w:szCs w:val="20"/>
        </w:rPr>
      </w:pPr>
      <w:bookmarkStart w:id="17" w:name="IDAKQY0"/>
      <w:bookmarkEnd w:id="17"/>
      <w:r w:rsidRPr="00E859FB">
        <w:rPr>
          <w:rFonts w:ascii="Arial" w:hAnsi="Arial" w:cs="Arial"/>
          <w:color w:val="000000"/>
          <w:sz w:val="20"/>
          <w:szCs w:val="20"/>
        </w:rPr>
        <w:t>(a) record the making of an order under this rule; and</w:t>
      </w:r>
    </w:p>
    <w:p w14:paraId="5D9382A9" w14:textId="77777777" w:rsidR="00CD3C59" w:rsidRPr="00E859FB" w:rsidRDefault="00CD3C59" w:rsidP="001A355E">
      <w:pPr>
        <w:rPr>
          <w:rFonts w:ascii="Arial" w:hAnsi="Arial" w:cs="Arial"/>
          <w:color w:val="000000"/>
          <w:sz w:val="20"/>
          <w:szCs w:val="20"/>
        </w:rPr>
      </w:pPr>
      <w:bookmarkStart w:id="18" w:name="IDATQY0"/>
      <w:bookmarkEnd w:id="18"/>
      <w:r w:rsidRPr="00E859FB">
        <w:rPr>
          <w:rFonts w:ascii="Arial" w:hAnsi="Arial" w:cs="Arial"/>
          <w:color w:val="000000"/>
          <w:sz w:val="20"/>
          <w:szCs w:val="20"/>
        </w:rPr>
        <w:t>(b) arrange for a copy of the order to be served as soon as practicable on the parties.</w:t>
      </w:r>
    </w:p>
    <w:p w14:paraId="0EF0454C" w14:textId="22F30951" w:rsidR="00CD3C59" w:rsidRPr="00E859FB" w:rsidRDefault="00CD3C59" w:rsidP="001A355E">
      <w:pPr>
        <w:rPr>
          <w:rFonts w:ascii="Arial" w:hAnsi="Arial" w:cs="Arial"/>
          <w:color w:val="000000"/>
          <w:sz w:val="20"/>
          <w:szCs w:val="20"/>
        </w:rPr>
      </w:pPr>
      <w:bookmarkStart w:id="19" w:name="IDA4QY0"/>
      <w:bookmarkEnd w:id="19"/>
      <w:r w:rsidRPr="00E859FB">
        <w:rPr>
          <w:rFonts w:ascii="Arial" w:hAnsi="Arial" w:cs="Arial"/>
          <w:color w:val="000000"/>
          <w:sz w:val="20"/>
          <w:szCs w:val="20"/>
        </w:rPr>
        <w:t>(6) Where the court proposes to exercise its powers of its own initiative, the procedure set out in rule 4.3(2) to (6) applies.</w:t>
      </w:r>
    </w:p>
  </w:endnote>
  <w:endnote w:id="2">
    <w:p w14:paraId="116EDDE7" w14:textId="082EF208" w:rsidR="00CD3C59" w:rsidRPr="00E859FB" w:rsidRDefault="00CD3C59" w:rsidP="001A355E">
      <w:pPr>
        <w:spacing w:before="100" w:beforeAutospacing="1" w:after="100" w:afterAutospacing="1"/>
        <w:rPr>
          <w:rFonts w:ascii="Arial" w:hAnsi="Arial" w:cs="Arial"/>
          <w:sz w:val="20"/>
          <w:szCs w:val="20"/>
        </w:rPr>
      </w:pPr>
      <w:r w:rsidRPr="00E859FB">
        <w:rPr>
          <w:rStyle w:val="EndnoteReference"/>
          <w:rFonts w:ascii="Arial" w:hAnsi="Arial" w:cs="Arial"/>
          <w:sz w:val="20"/>
          <w:szCs w:val="20"/>
        </w:rPr>
        <w:endnoteRef/>
      </w:r>
      <w:r w:rsidRPr="00E859FB">
        <w:rPr>
          <w:rFonts w:ascii="Arial" w:hAnsi="Arial" w:cs="Arial"/>
          <w:sz w:val="20"/>
          <w:szCs w:val="20"/>
        </w:rPr>
        <w:t xml:space="preserve"> The Family Procedure (Amendment) Rules 2020, which came into force on 6</w:t>
      </w:r>
      <w:r w:rsidRPr="00E859FB">
        <w:rPr>
          <w:rFonts w:ascii="Arial" w:hAnsi="Arial" w:cs="Arial"/>
          <w:position w:val="8"/>
          <w:sz w:val="20"/>
          <w:szCs w:val="20"/>
        </w:rPr>
        <w:t xml:space="preserve"> </w:t>
      </w:r>
      <w:r w:rsidRPr="00E859FB">
        <w:rPr>
          <w:rFonts w:ascii="Arial" w:hAnsi="Arial" w:cs="Arial"/>
          <w:sz w:val="20"/>
          <w:szCs w:val="20"/>
        </w:rPr>
        <w:t>April 2020 (save for rules 10 to 14 – the costs rules - which came into force on 6</w:t>
      </w:r>
      <w:r w:rsidRPr="00E859FB">
        <w:rPr>
          <w:rFonts w:ascii="Arial" w:hAnsi="Arial" w:cs="Arial"/>
          <w:position w:val="8"/>
          <w:sz w:val="20"/>
          <w:szCs w:val="20"/>
        </w:rPr>
        <w:t xml:space="preserve"> </w:t>
      </w:r>
      <w:r w:rsidRPr="00E859FB">
        <w:rPr>
          <w:rFonts w:ascii="Arial" w:hAnsi="Arial" w:cs="Arial"/>
          <w:sz w:val="20"/>
          <w:szCs w:val="20"/>
        </w:rPr>
        <w:t xml:space="preserve">July 2020). </w:t>
      </w:r>
    </w:p>
  </w:endnote>
  <w:endnote w:id="3">
    <w:p w14:paraId="6543B331" w14:textId="7DEAC16F" w:rsidR="00CD3C59" w:rsidRPr="00E859FB" w:rsidRDefault="00CD3C59" w:rsidP="001A355E">
      <w:pPr>
        <w:rPr>
          <w:rFonts w:ascii="Arial" w:hAnsi="Arial" w:cs="Arial"/>
          <w:color w:val="212121"/>
          <w:sz w:val="20"/>
          <w:szCs w:val="20"/>
        </w:rPr>
      </w:pPr>
      <w:r w:rsidRPr="00E859FB">
        <w:rPr>
          <w:rStyle w:val="EndnoteReference"/>
          <w:rFonts w:ascii="Arial" w:hAnsi="Arial" w:cs="Arial"/>
          <w:sz w:val="20"/>
          <w:szCs w:val="20"/>
        </w:rPr>
        <w:endnoteRef/>
      </w:r>
      <w:r w:rsidRPr="00E859FB">
        <w:rPr>
          <w:rFonts w:ascii="Arial" w:hAnsi="Arial" w:cs="Arial"/>
          <w:sz w:val="20"/>
          <w:szCs w:val="20"/>
        </w:rPr>
        <w:t xml:space="preserve"> </w:t>
      </w:r>
      <w:r w:rsidRPr="00E859FB">
        <w:rPr>
          <w:rFonts w:ascii="Arial" w:hAnsi="Arial" w:cs="Arial"/>
          <w:color w:val="000000"/>
          <w:sz w:val="20"/>
          <w:szCs w:val="20"/>
        </w:rPr>
        <w:t xml:space="preserve">Civil Practice direction – </w:t>
      </w:r>
      <w:r w:rsidR="00E23CB2" w:rsidRPr="00E859FB">
        <w:rPr>
          <w:rFonts w:ascii="Arial" w:hAnsi="Arial" w:cs="Arial"/>
          <w:color w:val="000000"/>
          <w:sz w:val="20"/>
          <w:szCs w:val="20"/>
        </w:rPr>
        <w:t xml:space="preserve">pre-action conduct and protocols </w:t>
      </w:r>
      <w:r w:rsidRPr="00E859FB">
        <w:rPr>
          <w:rFonts w:ascii="Arial" w:hAnsi="Arial" w:cs="Arial"/>
          <w:color w:val="000000"/>
          <w:sz w:val="20"/>
          <w:szCs w:val="20"/>
        </w:rPr>
        <w:t xml:space="preserve">- </w:t>
      </w:r>
      <w:hyperlink r:id="rId1" w:history="1">
        <w:r w:rsidRPr="00E859FB">
          <w:rPr>
            <w:rStyle w:val="Hyperlink"/>
            <w:rFonts w:ascii="Arial" w:hAnsi="Arial" w:cs="Arial"/>
            <w:sz w:val="20"/>
            <w:szCs w:val="20"/>
          </w:rPr>
          <w:t>https://www.justice.gov.uk/courts/procedure-rules/civil/rules/pd_pre-action_conduct</w:t>
        </w:r>
      </w:hyperlink>
    </w:p>
    <w:p w14:paraId="713E5B8E" w14:textId="77777777" w:rsidR="00CD3C59" w:rsidRPr="00E859FB" w:rsidRDefault="00CD3C59" w:rsidP="001A355E">
      <w:pPr>
        <w:rPr>
          <w:rFonts w:ascii="Arial" w:hAnsi="Arial" w:cs="Arial"/>
          <w:color w:val="212121"/>
          <w:sz w:val="20"/>
          <w:szCs w:val="20"/>
        </w:rPr>
      </w:pPr>
      <w:r w:rsidRPr="00E859FB">
        <w:rPr>
          <w:rFonts w:ascii="Arial" w:hAnsi="Arial" w:cs="Arial"/>
          <w:color w:val="000000"/>
          <w:sz w:val="20"/>
          <w:szCs w:val="20"/>
        </w:rPr>
        <w:t> </w:t>
      </w:r>
    </w:p>
    <w:p w14:paraId="6208DAB0" w14:textId="0892F0DD" w:rsidR="00CD3C59" w:rsidRPr="00392583" w:rsidRDefault="00CD3C59" w:rsidP="001A355E">
      <w:pPr>
        <w:rPr>
          <w:rFonts w:ascii="Arial" w:hAnsi="Arial" w:cs="Arial"/>
          <w:i/>
          <w:iCs/>
          <w:color w:val="000000"/>
          <w:sz w:val="20"/>
          <w:szCs w:val="20"/>
        </w:rPr>
      </w:pPr>
      <w:r w:rsidRPr="00E859FB">
        <w:rPr>
          <w:rFonts w:ascii="Arial" w:hAnsi="Arial" w:cs="Arial"/>
          <w:i/>
          <w:iCs/>
          <w:color w:val="000000"/>
          <w:sz w:val="20"/>
          <w:szCs w:val="20"/>
        </w:rPr>
        <w:t>The relevant sections paras 3, 8, 9, 10 and 11. These provide, in very broad terms, that litigation is to be a last resort and parties should consider whether negotiation or some other form of ADR might enable them to settle their dispute without commencing proceedings. In the event that proceedings are issued, the court can require the parties to provide evidence that ADR has been considered. If a party fails to respond to a request to participate in ADR or unreasonably refuses to do so, then the court can penalise that party in costs.</w:t>
      </w:r>
    </w:p>
    <w:p w14:paraId="08BA754C" w14:textId="77777777" w:rsidR="00CD3C59" w:rsidRPr="00E859FB" w:rsidRDefault="00CD3C59" w:rsidP="001A355E">
      <w:pPr>
        <w:pStyle w:val="EndnoteText"/>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AAF93" w14:textId="77777777" w:rsidR="00A57296" w:rsidRDefault="00A57296" w:rsidP="001A355E">
      <w:r>
        <w:separator/>
      </w:r>
    </w:p>
  </w:footnote>
  <w:footnote w:type="continuationSeparator" w:id="0">
    <w:p w14:paraId="6C77AD0D" w14:textId="77777777" w:rsidR="00A57296" w:rsidRDefault="00A57296" w:rsidP="001A3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45A3A"/>
    <w:multiLevelType w:val="hybridMultilevel"/>
    <w:tmpl w:val="4892678C"/>
    <w:lvl w:ilvl="0" w:tplc="BC92D0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7B77C0B"/>
    <w:multiLevelType w:val="hybridMultilevel"/>
    <w:tmpl w:val="EC74A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66126"/>
    <w:multiLevelType w:val="hybridMultilevel"/>
    <w:tmpl w:val="DE0C1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F86E95"/>
    <w:multiLevelType w:val="hybridMultilevel"/>
    <w:tmpl w:val="1B480002"/>
    <w:lvl w:ilvl="0" w:tplc="4C3E7800">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650EE0"/>
    <w:multiLevelType w:val="hybridMultilevel"/>
    <w:tmpl w:val="E9C27018"/>
    <w:lvl w:ilvl="0" w:tplc="D7B831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86A6BCD"/>
    <w:multiLevelType w:val="hybridMultilevel"/>
    <w:tmpl w:val="BC328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317C8A"/>
    <w:multiLevelType w:val="hybridMultilevel"/>
    <w:tmpl w:val="2BF4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120FEF"/>
    <w:multiLevelType w:val="hybridMultilevel"/>
    <w:tmpl w:val="8A009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065081"/>
    <w:multiLevelType w:val="hybridMultilevel"/>
    <w:tmpl w:val="95F0B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D17C84"/>
    <w:multiLevelType w:val="hybridMultilevel"/>
    <w:tmpl w:val="3E58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243AFA"/>
    <w:multiLevelType w:val="hybridMultilevel"/>
    <w:tmpl w:val="C57A8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D01566"/>
    <w:multiLevelType w:val="hybridMultilevel"/>
    <w:tmpl w:val="F3E2CDB0"/>
    <w:lvl w:ilvl="0" w:tplc="ADF8A3E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9E6D4C"/>
    <w:multiLevelType w:val="hybridMultilevel"/>
    <w:tmpl w:val="F5E4F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0"/>
  </w:num>
  <w:num w:numId="5">
    <w:abstractNumId w:val="9"/>
  </w:num>
  <w:num w:numId="6">
    <w:abstractNumId w:val="6"/>
  </w:num>
  <w:num w:numId="7">
    <w:abstractNumId w:val="11"/>
  </w:num>
  <w:num w:numId="8">
    <w:abstractNumId w:val="4"/>
  </w:num>
  <w:num w:numId="9">
    <w:abstractNumId w:val="3"/>
  </w:num>
  <w:num w:numId="10">
    <w:abstractNumId w:val="12"/>
  </w:num>
  <w:num w:numId="11">
    <w:abstractNumId w:val="8"/>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AB9"/>
    <w:rsid w:val="00036A31"/>
    <w:rsid w:val="000A6CEB"/>
    <w:rsid w:val="000C3069"/>
    <w:rsid w:val="001A355E"/>
    <w:rsid w:val="001A731E"/>
    <w:rsid w:val="001E27C1"/>
    <w:rsid w:val="00216FCC"/>
    <w:rsid w:val="0026559F"/>
    <w:rsid w:val="002C0C25"/>
    <w:rsid w:val="002C70D4"/>
    <w:rsid w:val="00313174"/>
    <w:rsid w:val="00376D27"/>
    <w:rsid w:val="00392583"/>
    <w:rsid w:val="00456667"/>
    <w:rsid w:val="004E2BF2"/>
    <w:rsid w:val="005C78D9"/>
    <w:rsid w:val="00662A20"/>
    <w:rsid w:val="007A131F"/>
    <w:rsid w:val="0084082F"/>
    <w:rsid w:val="008910E3"/>
    <w:rsid w:val="009726B9"/>
    <w:rsid w:val="00A27649"/>
    <w:rsid w:val="00A57296"/>
    <w:rsid w:val="00AC05DD"/>
    <w:rsid w:val="00BA7AB9"/>
    <w:rsid w:val="00CA77E9"/>
    <w:rsid w:val="00CD3C59"/>
    <w:rsid w:val="00D45120"/>
    <w:rsid w:val="00D759BA"/>
    <w:rsid w:val="00DC2A11"/>
    <w:rsid w:val="00E23CB2"/>
    <w:rsid w:val="00E859FB"/>
    <w:rsid w:val="00EB09C5"/>
    <w:rsid w:val="00EB49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797B"/>
  <w15:docId w15:val="{BE3C790E-93C4-4182-93AE-6F0437D3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AB9"/>
    <w:pPr>
      <w:ind w:left="720"/>
      <w:contextualSpacing/>
    </w:pPr>
  </w:style>
  <w:style w:type="table" w:styleId="TableGrid">
    <w:name w:val="Table Grid"/>
    <w:basedOn w:val="TableNormal"/>
    <w:uiPriority w:val="39"/>
    <w:rsid w:val="00BA7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7AB9"/>
    <w:rPr>
      <w:color w:val="0563C1" w:themeColor="hyperlink"/>
      <w:u w:val="single"/>
    </w:rPr>
  </w:style>
  <w:style w:type="character" w:customStyle="1" w:styleId="UnresolvedMention1">
    <w:name w:val="Unresolved Mention1"/>
    <w:basedOn w:val="DefaultParagraphFont"/>
    <w:uiPriority w:val="99"/>
    <w:semiHidden/>
    <w:unhideWhenUsed/>
    <w:rsid w:val="00BA7AB9"/>
    <w:rPr>
      <w:color w:val="605E5C"/>
      <w:shd w:val="clear" w:color="auto" w:fill="E1DFDD"/>
    </w:rPr>
  </w:style>
  <w:style w:type="character" w:customStyle="1" w:styleId="apple-converted-space">
    <w:name w:val="apple-converted-space"/>
    <w:basedOn w:val="DefaultParagraphFont"/>
    <w:rsid w:val="001A355E"/>
  </w:style>
  <w:style w:type="paragraph" w:styleId="NormalWeb">
    <w:name w:val="Normal (Web)"/>
    <w:basedOn w:val="Normal"/>
    <w:uiPriority w:val="99"/>
    <w:unhideWhenUsed/>
    <w:rsid w:val="001A355E"/>
    <w:pPr>
      <w:spacing w:before="100" w:beforeAutospacing="1" w:after="100" w:afterAutospacing="1"/>
    </w:pPr>
    <w:rPr>
      <w:rFonts w:ascii="Times New Roman" w:eastAsia="Times New Roman" w:hAnsi="Times New Roman" w:cs="Times New Roman"/>
      <w:lang w:eastAsia="en-GB"/>
    </w:rPr>
  </w:style>
  <w:style w:type="paragraph" w:styleId="EndnoteText">
    <w:name w:val="endnote text"/>
    <w:basedOn w:val="Normal"/>
    <w:link w:val="EndnoteTextChar"/>
    <w:uiPriority w:val="99"/>
    <w:semiHidden/>
    <w:unhideWhenUsed/>
    <w:rsid w:val="001A355E"/>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semiHidden/>
    <w:rsid w:val="001A355E"/>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1A355E"/>
    <w:rPr>
      <w:vertAlign w:val="superscript"/>
    </w:rPr>
  </w:style>
  <w:style w:type="paragraph" w:styleId="BalloonText">
    <w:name w:val="Balloon Text"/>
    <w:basedOn w:val="Normal"/>
    <w:link w:val="BalloonTextChar"/>
    <w:uiPriority w:val="99"/>
    <w:semiHidden/>
    <w:unhideWhenUsed/>
    <w:rsid w:val="00036A31"/>
    <w:rPr>
      <w:rFonts w:ascii="Tahoma" w:hAnsi="Tahoma" w:cs="Tahoma"/>
      <w:sz w:val="16"/>
      <w:szCs w:val="16"/>
    </w:rPr>
  </w:style>
  <w:style w:type="character" w:customStyle="1" w:styleId="BalloonTextChar">
    <w:name w:val="Balloon Text Char"/>
    <w:basedOn w:val="DefaultParagraphFont"/>
    <w:link w:val="BalloonText"/>
    <w:uiPriority w:val="99"/>
    <w:semiHidden/>
    <w:rsid w:val="00036A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0676810">
      <w:bodyDiv w:val="1"/>
      <w:marLeft w:val="0"/>
      <w:marRight w:val="0"/>
      <w:marTop w:val="0"/>
      <w:marBottom w:val="0"/>
      <w:divBdr>
        <w:top w:val="none" w:sz="0" w:space="0" w:color="auto"/>
        <w:left w:val="none" w:sz="0" w:space="0" w:color="auto"/>
        <w:bottom w:val="none" w:sz="0" w:space="0" w:color="auto"/>
        <w:right w:val="none" w:sz="0" w:space="0" w:color="auto"/>
      </w:divBdr>
      <w:divsChild>
        <w:div w:id="1904020821">
          <w:marLeft w:val="0"/>
          <w:marRight w:val="0"/>
          <w:marTop w:val="0"/>
          <w:marBottom w:val="0"/>
          <w:divBdr>
            <w:top w:val="none" w:sz="0" w:space="0" w:color="auto"/>
            <w:left w:val="none" w:sz="0" w:space="0" w:color="auto"/>
            <w:bottom w:val="none" w:sz="0" w:space="0" w:color="auto"/>
            <w:right w:val="none" w:sz="0" w:space="0" w:color="auto"/>
          </w:divBdr>
          <w:divsChild>
            <w:div w:id="91367586">
              <w:marLeft w:val="0"/>
              <w:marRight w:val="0"/>
              <w:marTop w:val="0"/>
              <w:marBottom w:val="0"/>
              <w:divBdr>
                <w:top w:val="none" w:sz="0" w:space="0" w:color="auto"/>
                <w:left w:val="none" w:sz="0" w:space="0" w:color="auto"/>
                <w:bottom w:val="none" w:sz="0" w:space="0" w:color="auto"/>
                <w:right w:val="none" w:sz="0" w:space="0" w:color="auto"/>
              </w:divBdr>
              <w:divsChild>
                <w:div w:id="18591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endnotes.xml.rels><?xml version="1.0" encoding="UTF-8" standalone="yes"?>
<Relationships xmlns="http://schemas.openxmlformats.org/package/2006/relationships"><Relationship Id="rId1" Type="http://schemas.openxmlformats.org/officeDocument/2006/relationships/hyperlink" Target="https://www.justice.gov.uk/courts/procedure-rules/civil/rules/pd_pre-action_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Barham</dc:creator>
  <cp:keywords/>
  <dc:description/>
  <cp:lastModifiedBy>Sam Gooderham</cp:lastModifiedBy>
  <cp:revision>9</cp:revision>
  <dcterms:created xsi:type="dcterms:W3CDTF">2020-09-28T12:08:00Z</dcterms:created>
  <dcterms:modified xsi:type="dcterms:W3CDTF">2020-10-09T13:19:00Z</dcterms:modified>
</cp:coreProperties>
</file>